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4" w:name="_GoBack"/>
      <w:bookmarkEnd w:id="4"/>
    </w:p>
    <w:p>
      <w:pPr>
        <w:spacing w:after="0" w:line="240" w:lineRule="auto"/>
        <w:jc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810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2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rPr>
          <w:jc w:val="center"/>
        </w:trPr>
        <w:tc>
          <w:tcPr>
            <w:tcW w:w="10085" w:type="dxa"/>
          </w:tcPr>
          <w:p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ДЕПАРТАМЕНТ  СОЦИАЛЬНОЙ  ПОЛИТИКИ  ЧУКОТСКОГО  АВТОНОМНОГО  ОКРУГА</w:t>
            </w:r>
          </w:p>
        </w:tc>
      </w:tr>
    </w:tbl>
    <w:p>
      <w:pPr>
        <w:pStyle w:val="2"/>
        <w:keepNext w:val="0"/>
        <w:spacing w:after="0" w:line="240" w:lineRule="auto"/>
        <w:rPr>
          <w:b w:val="0"/>
          <w:szCs w:val="28"/>
          <w:lang w:val="ru-RU"/>
        </w:rPr>
      </w:pPr>
    </w:p>
    <w:p>
      <w:pPr>
        <w:pStyle w:val="2"/>
        <w:keepNext w:val="0"/>
        <w:spacing w:after="0" w:line="240" w:lineRule="auto"/>
        <w:rPr>
          <w:sz w:val="26"/>
          <w:szCs w:val="26"/>
          <w:lang w:val="ru-RU"/>
        </w:rPr>
      </w:pPr>
      <w:r>
        <w:rPr>
          <w:sz w:val="26"/>
          <w:szCs w:val="26"/>
        </w:rPr>
        <w:t>П Р И К А З</w:t>
      </w:r>
    </w:p>
    <w:p>
      <w:pPr>
        <w:spacing w:after="0" w:line="240" w:lineRule="auto"/>
        <w:rPr>
          <w:lang w:eastAsia="zh-CN"/>
        </w:rPr>
      </w:pPr>
    </w:p>
    <w:p>
      <w:pPr>
        <w:spacing w:after="0" w:line="240" w:lineRule="auto"/>
        <w:rPr>
          <w:lang w:eastAsia="zh-CN"/>
        </w:rPr>
      </w:pPr>
    </w:p>
    <w:tbl>
      <w:tblPr>
        <w:tblStyle w:val="23"/>
        <w:tblW w:w="9692" w:type="dxa"/>
        <w:tblInd w:w="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3260"/>
        <w:gridCol w:w="236"/>
        <w:gridCol w:w="608"/>
        <w:gridCol w:w="1126"/>
        <w:gridCol w:w="38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4" w:type="dxa"/>
            <w:vAlign w:val="center"/>
          </w:tcPr>
          <w:p>
            <w:pPr>
              <w:pStyle w:val="14"/>
              <w:tabs>
                <w:tab w:val="left" w:pos="708"/>
              </w:tabs>
              <w:spacing w:after="0" w:line="240" w:lineRule="auto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от </w:t>
            </w:r>
          </w:p>
        </w:tc>
        <w:tc>
          <w:tcPr>
            <w:tcW w:w="3260" w:type="dxa"/>
            <w:vAlign w:val="center"/>
          </w:tcPr>
          <w:p>
            <w:pPr>
              <w:pStyle w:val="14"/>
              <w:tabs>
                <w:tab w:val="left" w:pos="708"/>
              </w:tabs>
              <w:spacing w:after="0" w:line="240" w:lineRule="auto"/>
              <w:rPr>
                <w:rFonts w:hint="default"/>
                <w:b/>
                <w:bCs/>
                <w:sz w:val="26"/>
                <w:szCs w:val="26"/>
                <w:lang w:val="ru-RU"/>
              </w:rPr>
            </w:pPr>
            <w:r>
              <w:rPr>
                <w:rFonts w:hint="default"/>
                <w:b/>
                <w:bCs/>
                <w:sz w:val="26"/>
                <w:szCs w:val="26"/>
                <w:lang w:val="ru-RU"/>
              </w:rPr>
              <w:t>30.12.2019</w:t>
            </w:r>
          </w:p>
        </w:tc>
        <w:tc>
          <w:tcPr>
            <w:tcW w:w="236" w:type="dxa"/>
            <w:vAlign w:val="center"/>
          </w:tcPr>
          <w:p>
            <w:pPr>
              <w:pStyle w:val="14"/>
              <w:tabs>
                <w:tab w:val="left" w:pos="708"/>
              </w:tabs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8" w:type="dxa"/>
            <w:vAlign w:val="center"/>
          </w:tcPr>
          <w:p>
            <w:pPr>
              <w:pStyle w:val="14"/>
              <w:tabs>
                <w:tab w:val="left" w:pos="708"/>
              </w:tabs>
              <w:spacing w:after="0" w:line="240" w:lineRule="auto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26" w:type="dxa"/>
            <w:vAlign w:val="center"/>
          </w:tcPr>
          <w:p>
            <w:pPr>
              <w:pStyle w:val="14"/>
              <w:tabs>
                <w:tab w:val="left" w:pos="708"/>
              </w:tabs>
              <w:spacing w:after="0" w:line="240" w:lineRule="auto"/>
              <w:rPr>
                <w:rFonts w:hint="default"/>
                <w:b/>
                <w:bCs/>
                <w:sz w:val="26"/>
                <w:szCs w:val="26"/>
                <w:lang w:val="ru-RU"/>
              </w:rPr>
            </w:pPr>
            <w:r>
              <w:rPr>
                <w:rFonts w:hint="default"/>
                <w:b/>
                <w:bCs/>
                <w:sz w:val="26"/>
                <w:szCs w:val="26"/>
                <w:lang w:val="ru-RU"/>
              </w:rPr>
              <w:t>1602</w:t>
            </w:r>
          </w:p>
        </w:tc>
        <w:tc>
          <w:tcPr>
            <w:tcW w:w="3858" w:type="dxa"/>
            <w:vAlign w:val="center"/>
          </w:tcPr>
          <w:p>
            <w:pPr>
              <w:pStyle w:val="14"/>
              <w:tabs>
                <w:tab w:val="left" w:pos="708"/>
              </w:tabs>
              <w:spacing w:after="0" w:line="240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г. Анадырь</w:t>
            </w:r>
          </w:p>
        </w:tc>
      </w:tr>
    </w:tbl>
    <w:p>
      <w:pPr>
        <w:spacing w:after="0" w:line="240" w:lineRule="auto"/>
        <w:jc w:val="both"/>
        <w:outlineLvl w:val="2"/>
        <w:rPr>
          <w:sz w:val="26"/>
          <w:szCs w:val="26"/>
        </w:rPr>
      </w:pPr>
    </w:p>
    <w:p>
      <w:pPr>
        <w:spacing w:after="0" w:line="240" w:lineRule="auto"/>
        <w:jc w:val="both"/>
        <w:outlineLvl w:val="2"/>
        <w:rPr>
          <w:sz w:val="26"/>
          <w:szCs w:val="26"/>
        </w:rPr>
      </w:pPr>
    </w:p>
    <w:tbl>
      <w:tblPr>
        <w:tblStyle w:val="2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6"/>
        <w:gridCol w:w="4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6" w:type="dxa"/>
          </w:tcPr>
          <w:p>
            <w:pPr>
              <w:spacing w:after="0" w:line="240" w:lineRule="auto"/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ключевых показателей и Методики расчета ключевых показателей эффективности функционирования антимонопольного комплаенса в Департаменте социальной политики Чукотского автономного округа </w:t>
            </w:r>
          </w:p>
        </w:tc>
        <w:tc>
          <w:tcPr>
            <w:tcW w:w="4856" w:type="dxa"/>
          </w:tcPr>
          <w:p>
            <w:pPr>
              <w:spacing w:after="0" w:line="240" w:lineRule="auto"/>
              <w:jc w:val="both"/>
              <w:outlineLvl w:val="2"/>
              <w:rPr>
                <w:sz w:val="26"/>
                <w:szCs w:val="26"/>
              </w:rPr>
            </w:pPr>
          </w:p>
        </w:tc>
      </w:tr>
    </w:tbl>
    <w:p>
      <w:pPr>
        <w:spacing w:after="0" w:line="240" w:lineRule="auto"/>
        <w:jc w:val="both"/>
        <w:outlineLvl w:val="2"/>
        <w:rPr>
          <w:sz w:val="28"/>
          <w:szCs w:val="28"/>
        </w:rPr>
      </w:pPr>
    </w:p>
    <w:p>
      <w:pPr>
        <w:spacing w:after="0" w:line="240" w:lineRule="auto"/>
        <w:ind w:firstLine="720"/>
        <w:jc w:val="both"/>
        <w:rPr>
          <w:sz w:val="26"/>
          <w:szCs w:val="26"/>
        </w:rPr>
      </w:pPr>
      <w:bookmarkStart w:id="0" w:name="sub_1"/>
      <w:r>
        <w:rPr>
          <w:sz w:val="26"/>
          <w:szCs w:val="26"/>
        </w:rPr>
        <w:t xml:space="preserve">В целях реализации Указа Президента Российской Федерации от 21 декабря 2017 года № 618 «Об основных направлениях государственной политики по развитию конкуренции», в соответствии с пунктом 29 распоряжения Правительства Российской Федерации от 18 октября 2018 года № 2258-р и приказа Департамента социальной политики Чукотского автономного округа от 27 февраля 2019 года № 325 «О системе внутреннего обеспечения соответствия требованиям антимонопольного законодательства в Департаменте социальной политики Чукотского автономного округа», </w:t>
      </w:r>
    </w:p>
    <w:p>
      <w:pPr>
        <w:pStyle w:val="16"/>
        <w:spacing w:after="0" w:line="240" w:lineRule="auto"/>
        <w:ind w:firstLine="851"/>
        <w:rPr>
          <w:b/>
          <w:sz w:val="28"/>
          <w:szCs w:val="28"/>
        </w:rPr>
      </w:pPr>
    </w:p>
    <w:p>
      <w:pPr>
        <w:pStyle w:val="16"/>
        <w:spacing w:after="0" w:line="240" w:lineRule="auto"/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>
      <w:pPr>
        <w:spacing w:after="0" w:line="240" w:lineRule="auto"/>
        <w:jc w:val="both"/>
        <w:rPr>
          <w:sz w:val="28"/>
          <w:szCs w:val="28"/>
        </w:rPr>
      </w:pPr>
    </w:p>
    <w:p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ключевые показатели эффективности функционирования в Департаменте социальной политики Чукотского автономного округа антимонопольного комплаенса </w:t>
      </w:r>
      <w:r>
        <w:rPr>
          <w:bCs/>
          <w:sz w:val="26"/>
          <w:szCs w:val="26"/>
        </w:rPr>
        <w:t>согласно приложению к настоящему приказу</w:t>
      </w:r>
      <w:r>
        <w:rPr>
          <w:sz w:val="26"/>
          <w:szCs w:val="26"/>
        </w:rPr>
        <w:t>.</w:t>
      </w:r>
    </w:p>
    <w:p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Методику расчета ключевых показателей эффективности функционирования в Департаменте социальной политики Чукотского автономного округа антимонопольного комплаенса </w:t>
      </w:r>
      <w:r>
        <w:rPr>
          <w:bCs/>
          <w:sz w:val="26"/>
          <w:szCs w:val="26"/>
        </w:rPr>
        <w:t>согласно приложению к настоящему приказу</w:t>
      </w:r>
      <w:r>
        <w:rPr>
          <w:sz w:val="26"/>
          <w:szCs w:val="26"/>
        </w:rPr>
        <w:t>.</w:t>
      </w:r>
    </w:p>
    <w:p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Отделу административно-организационной и правовой работы Департамента социальной политики Чукотского автономного округа обеспечить ознакомление начальников структурных подразделений и самостоятельных отделов Департамента с настоящим приказом.</w:t>
      </w:r>
    </w:p>
    <w:p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Контроль за исполнением настоящего приказа оставляю за собой.</w:t>
      </w:r>
    </w:p>
    <w:p>
      <w:pPr>
        <w:spacing w:after="0" w:line="240" w:lineRule="auto"/>
        <w:jc w:val="both"/>
        <w:rPr>
          <w:sz w:val="28"/>
          <w:szCs w:val="28"/>
        </w:rPr>
      </w:pPr>
    </w:p>
    <w:p>
      <w:pPr>
        <w:spacing w:after="0" w:line="240" w:lineRule="auto"/>
        <w:jc w:val="both"/>
        <w:rPr>
          <w:sz w:val="28"/>
          <w:szCs w:val="28"/>
        </w:rPr>
      </w:pPr>
    </w:p>
    <w:bookmarkEnd w:id="0"/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</w:pPr>
    </w:p>
    <w:p>
      <w:pPr>
        <w:spacing w:after="0" w:line="240" w:lineRule="auto"/>
      </w:pPr>
    </w:p>
    <w:p>
      <w:pPr>
        <w:pStyle w:val="39"/>
        <w:widowControl/>
        <w:spacing w:after="0" w:line="240" w:lineRule="auto"/>
        <w:ind w:left="56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>
      <w:pPr>
        <w:pStyle w:val="39"/>
        <w:widowControl/>
        <w:spacing w:after="0" w:line="240" w:lineRule="auto"/>
        <w:ind w:left="56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Департамента </w:t>
      </w:r>
    </w:p>
    <w:p>
      <w:pPr>
        <w:pStyle w:val="39"/>
        <w:widowControl/>
        <w:spacing w:after="0" w:line="240" w:lineRule="auto"/>
        <w:ind w:left="56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социальной политики </w:t>
      </w:r>
    </w:p>
    <w:p>
      <w:pPr>
        <w:pStyle w:val="39"/>
        <w:widowControl/>
        <w:spacing w:after="0" w:line="240" w:lineRule="auto"/>
        <w:ind w:left="56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Чукотского автономного округа</w:t>
      </w:r>
    </w:p>
    <w:p>
      <w:pPr>
        <w:pStyle w:val="39"/>
        <w:widowControl/>
        <w:spacing w:after="0" w:line="240" w:lineRule="auto"/>
        <w:ind w:left="56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 2019 № ___</w:t>
      </w:r>
    </w:p>
    <w:p>
      <w:pPr>
        <w:pStyle w:val="39"/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</w:pPr>
      <w:bookmarkStart w:id="1" w:name="P32"/>
      <w:bookmarkEnd w:id="1"/>
    </w:p>
    <w:p>
      <w:pPr>
        <w:pStyle w:val="28"/>
        <w:widowControl/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Ключевые показатели эффективности функционирования </w:t>
      </w:r>
    </w:p>
    <w:p>
      <w:pPr>
        <w:pStyle w:val="28"/>
        <w:widowControl/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в Департаменте социальной политики Чукотского автономного округа антимонопольного комплаенса</w:t>
      </w:r>
    </w:p>
    <w:p>
      <w:pPr>
        <w:spacing w:after="0" w:line="240" w:lineRule="auto"/>
        <w:rPr>
          <w:sz w:val="26"/>
          <w:szCs w:val="26"/>
        </w:rPr>
      </w:pPr>
    </w:p>
    <w:tbl>
      <w:tblPr>
        <w:tblStyle w:val="23"/>
        <w:tblW w:w="983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7278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pStyle w:val="29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7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pStyle w:val="29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pStyle w:val="29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Значение показателя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</w:tcPr>
          <w:p>
            <w:pPr>
              <w:pStyle w:val="29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</w:tcPr>
          <w:p>
            <w:pPr>
              <w:pStyle w:val="3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Коэффициент снижения количества нарушений </w:t>
            </w:r>
            <w:r>
              <w:fldChar w:fldCharType="begin"/>
            </w:r>
            <w:r>
              <w:instrText xml:space="preserve"> HYPERLINK "garantF1://12048517.2" </w:instrText>
            </w:r>
            <w:r>
              <w:fldChar w:fldCharType="separate"/>
            </w:r>
            <w:r>
              <w:rPr>
                <w:rStyle w:val="26"/>
                <w:rFonts w:ascii="Times New Roman" w:hAnsi="Times New Roman"/>
                <w:b w:val="0"/>
                <w:bCs w:val="0"/>
                <w:color w:val="auto"/>
                <w:sz w:val="26"/>
                <w:szCs w:val="26"/>
              </w:rPr>
              <w:t>антимонопольного законодательства</w:t>
            </w:r>
            <w:r>
              <w:rPr>
                <w:rStyle w:val="26"/>
                <w:rFonts w:ascii="Times New Roman" w:hAnsi="Times New Roman"/>
                <w:b w:val="0"/>
                <w:bCs w:val="0"/>
                <w:color w:val="auto"/>
                <w:sz w:val="26"/>
                <w:szCs w:val="26"/>
              </w:rPr>
              <w:fldChar w:fldCharType="end"/>
            </w:r>
            <w:r>
              <w:rPr>
                <w:rStyle w:val="26"/>
                <w:rFonts w:ascii="Times New Roman" w:hAnsi="Times New Roman"/>
                <w:b w:val="0"/>
                <w:bCs w:val="0"/>
                <w:color w:val="auto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со стороны Департамента (по сравнению с предыдущим периодом)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</w:tcPr>
          <w:p>
            <w:pPr>
              <w:pStyle w:val="29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</w:tcPr>
          <w:p>
            <w:pPr>
              <w:pStyle w:val="29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</w:tcPr>
          <w:p>
            <w:pPr>
              <w:pStyle w:val="3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Доля проектов нормативных правовых актов Департамента, разработчиком которых является Департамент, в которых выявлены риски нарушения </w:t>
            </w:r>
            <w:r>
              <w:fldChar w:fldCharType="begin"/>
            </w:r>
            <w:r>
              <w:instrText xml:space="preserve"> HYPERLINK "garantF1://12048517.2" </w:instrText>
            </w:r>
            <w:r>
              <w:fldChar w:fldCharType="separate"/>
            </w:r>
            <w:r>
              <w:rPr>
                <w:rStyle w:val="26"/>
                <w:rFonts w:ascii="Times New Roman" w:hAnsi="Times New Roman"/>
                <w:b w:val="0"/>
                <w:bCs w:val="0"/>
                <w:color w:val="auto"/>
                <w:sz w:val="26"/>
                <w:szCs w:val="26"/>
              </w:rPr>
              <w:t>антимонопольного законодательства</w:t>
            </w:r>
            <w:r>
              <w:rPr>
                <w:rStyle w:val="26"/>
                <w:rFonts w:ascii="Times New Roman" w:hAnsi="Times New Roman"/>
                <w:b w:val="0"/>
                <w:bCs w:val="0"/>
                <w:color w:val="auto"/>
                <w:sz w:val="26"/>
                <w:szCs w:val="26"/>
              </w:rPr>
              <w:fldChar w:fldCharType="end"/>
            </w:r>
            <w:r>
              <w:rPr>
                <w:rStyle w:val="26"/>
                <w:rFonts w:ascii="Times New Roman" w:hAnsi="Times New Roman"/>
                <w:b w:val="0"/>
                <w:bCs w:val="0"/>
                <w:color w:val="auto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</w:tcPr>
          <w:p>
            <w:pPr>
              <w:pStyle w:val="29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</w:tcPr>
          <w:p>
            <w:pPr>
              <w:pStyle w:val="29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</w:tcPr>
          <w:p>
            <w:pPr>
              <w:pStyle w:val="3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Доля нормативных правовых актов Департамента, разработчиком которых является Департамент, в которых выявлены риски нарушения </w:t>
            </w:r>
            <w:r>
              <w:fldChar w:fldCharType="begin"/>
            </w:r>
            <w:r>
              <w:instrText xml:space="preserve"> HYPERLINK "garantF1://12048517.2" </w:instrText>
            </w:r>
            <w:r>
              <w:fldChar w:fldCharType="separate"/>
            </w:r>
            <w:r>
              <w:rPr>
                <w:rStyle w:val="26"/>
                <w:rFonts w:ascii="Times New Roman" w:hAnsi="Times New Roman"/>
                <w:b w:val="0"/>
                <w:bCs w:val="0"/>
                <w:color w:val="auto"/>
                <w:sz w:val="26"/>
                <w:szCs w:val="26"/>
              </w:rPr>
              <w:t>антимонопольного законодательства</w:t>
            </w:r>
            <w:r>
              <w:rPr>
                <w:rStyle w:val="26"/>
                <w:rFonts w:ascii="Times New Roman" w:hAnsi="Times New Roman"/>
                <w:b w:val="0"/>
                <w:bCs w:val="0"/>
                <w:color w:val="auto"/>
                <w:sz w:val="26"/>
                <w:szCs w:val="26"/>
              </w:rPr>
              <w:fldChar w:fldCharType="end"/>
            </w:r>
            <w:r>
              <w:rPr>
                <w:rFonts w:ascii="Times New Roman" w:hAnsi="Times New Roman"/>
                <w:sz w:val="26"/>
                <w:szCs w:val="26"/>
              </w:rPr>
              <w:t>, %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</w:tcPr>
          <w:p>
            <w:pPr>
              <w:pStyle w:val="29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</w:tbl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spacing w:after="0" w:line="240" w:lineRule="auto"/>
        <w:rPr>
          <w:sz w:val="26"/>
          <w:szCs w:val="26"/>
        </w:rPr>
      </w:pPr>
    </w:p>
    <w:p>
      <w:pPr>
        <w:pStyle w:val="39"/>
        <w:widowControl/>
        <w:spacing w:after="0" w:line="240" w:lineRule="auto"/>
        <w:ind w:left="56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>
      <w:pPr>
        <w:pStyle w:val="39"/>
        <w:widowControl/>
        <w:spacing w:after="0" w:line="240" w:lineRule="auto"/>
        <w:ind w:left="56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Департамента </w:t>
      </w:r>
    </w:p>
    <w:p>
      <w:pPr>
        <w:pStyle w:val="39"/>
        <w:widowControl/>
        <w:spacing w:after="0" w:line="240" w:lineRule="auto"/>
        <w:ind w:left="56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социальной политики </w:t>
      </w:r>
    </w:p>
    <w:p>
      <w:pPr>
        <w:pStyle w:val="39"/>
        <w:widowControl/>
        <w:spacing w:after="0" w:line="240" w:lineRule="auto"/>
        <w:ind w:left="56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Чукотского автономного округа</w:t>
      </w:r>
    </w:p>
    <w:p>
      <w:pPr>
        <w:pStyle w:val="39"/>
        <w:widowControl/>
        <w:spacing w:after="0" w:line="240" w:lineRule="auto"/>
        <w:ind w:left="56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 2019 № ___</w:t>
      </w:r>
    </w:p>
    <w:p>
      <w:pPr>
        <w:pStyle w:val="39"/>
        <w:widowControl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28"/>
        <w:widowControl/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Методика расчёта ключевых показателей эффективности функционирования</w:t>
      </w:r>
    </w:p>
    <w:p>
      <w:pPr>
        <w:pStyle w:val="28"/>
        <w:widowControl/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в Департаменте социальной политики Чукотского автономного округа</w:t>
      </w:r>
    </w:p>
    <w:p>
      <w:pPr>
        <w:pStyle w:val="28"/>
        <w:widowControl/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антимонопольного комплаенса</w:t>
      </w:r>
    </w:p>
    <w:p>
      <w:pPr>
        <w:pStyle w:val="39"/>
        <w:widowControl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>
      <w:pPr>
        <w:pStyle w:val="28"/>
        <w:widowControl/>
        <w:spacing w:after="0" w:line="240" w:lineRule="auto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I. Общие положения</w:t>
      </w:r>
    </w:p>
    <w:p>
      <w:pPr>
        <w:pStyle w:val="39"/>
        <w:widowControl/>
        <w:numPr>
          <w:ilvl w:val="0"/>
          <w:numId w:val="2"/>
        </w:numPr>
        <w:spacing w:after="0" w:line="240" w:lineRule="auto"/>
        <w:ind w:firstLine="717" w:firstLineChars="27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Методика расчета ключевых показателей эффективности функционирования в Департаменте социальной политики Чукотского автономного округа (далее - Департамент) антимонопольного комплаенса (далее - Методика) разработана в соответствии с распоряжением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 (далее - Методические рекомендации).</w:t>
      </w:r>
    </w:p>
    <w:p>
      <w:pPr>
        <w:pStyle w:val="39"/>
        <w:widowControl/>
        <w:spacing w:after="0" w:line="240" w:lineRule="auto"/>
        <w:ind w:firstLine="717" w:firstLineChars="27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В целях оценки эффективности функционирования в Департаменте антимонопольного комплаенса в соответствии с Методикой рассчитываются ключевые показатели эффективности антимонопольного комплаенса (далее - КПЭ)для уполномоченного подразделения(отдела административно-организационной и правовой работы), структурных подразделений Департамента и для Департамента в целом.</w:t>
      </w:r>
    </w:p>
    <w:p>
      <w:pPr>
        <w:pStyle w:val="39"/>
        <w:widowControl/>
        <w:spacing w:after="0" w:line="240" w:lineRule="auto"/>
        <w:ind w:firstLine="717" w:firstLineChars="27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Ключевые показатели эффективности и критерии их оценки утверждаются, изменяются и дополняются по мере необходимости.</w:t>
      </w:r>
    </w:p>
    <w:p>
      <w:pPr>
        <w:spacing w:after="0" w:line="240" w:lineRule="auto"/>
        <w:ind w:firstLine="717" w:firstLineChars="276"/>
        <w:jc w:val="both"/>
        <w:rPr>
          <w:sz w:val="26"/>
          <w:szCs w:val="26"/>
        </w:rPr>
      </w:pPr>
      <w:bookmarkStart w:id="2" w:name="sub_102"/>
      <w:r>
        <w:rPr>
          <w:sz w:val="26"/>
          <w:szCs w:val="26"/>
        </w:rPr>
        <w:t>4. Настоящая Методика расчета ключевых показателей эффективности функционирования антимонопольного комплаенса в Департаменте является внутренним документом Департамента.</w:t>
      </w:r>
    </w:p>
    <w:bookmarkEnd w:id="2"/>
    <w:p>
      <w:pPr>
        <w:spacing w:after="0" w:line="240" w:lineRule="auto"/>
        <w:ind w:firstLine="717" w:firstLineChars="276"/>
        <w:jc w:val="both"/>
        <w:rPr>
          <w:sz w:val="26"/>
          <w:szCs w:val="26"/>
        </w:rPr>
      </w:pPr>
      <w:bookmarkStart w:id="3" w:name="sub_103"/>
      <w:r>
        <w:rPr>
          <w:sz w:val="26"/>
          <w:szCs w:val="26"/>
        </w:rPr>
        <w:t>5. Периодом, за который производится оценка эффективности функционирования антимонопольного комплаенса, является календарный год.</w:t>
      </w:r>
    </w:p>
    <w:bookmarkEnd w:id="3"/>
    <w:p>
      <w:pPr>
        <w:pStyle w:val="39"/>
        <w:widowControl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>
      <w:pPr>
        <w:pStyle w:val="28"/>
        <w:widowControl/>
        <w:spacing w:after="0" w:line="240" w:lineRule="auto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II. Методика расчета КПЭ для Департамента в целом</w:t>
      </w:r>
    </w:p>
    <w:p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Ключевыми показателями эффективности антимонопольного комплаенса для Департамента в целом являются:   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а) коэффициент снижения количества нарушений антимонопольного законодательства со стороны Департамента (по сравнению с предыдущим годом);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б) доля проектов нормативных правовых актов Департамента, разработчиком которых является Департамент, в которых выявлены риски нарушения антимонопольного законодательства;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в) доля нормативных правовых актов Департамента, разработчиком которых является Департамент, в которых выявлены риски нарушения антимонопольного законодательства;</w:t>
      </w:r>
    </w:p>
    <w:p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Коэффициент снижения количества нарушений антимонопольного законодательства со стороны Департамента (по сравнению с предыдущим годом) рассчитывается по формуле: 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drawing>
          <wp:inline distT="0" distB="0" distL="0" distR="0">
            <wp:extent cx="1179830" cy="652145"/>
            <wp:effectExtent l="0" t="0" r="1270" b="146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/>
                    </pic:cNvPicPr>
                  </pic:nvPicPr>
                  <pic:blipFill>
                    <a:blip r:embed="rId11"/>
                    <a:srcRect l="39593" t="58207" r="49366" b="33502"/>
                    <a:stretch>
                      <a:fillRect/>
                    </a:stretch>
                  </pic:blipFill>
                  <pic:spPr>
                    <a:xfrm>
                      <a:off x="0" y="0"/>
                      <a:ext cx="1213505" cy="67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>, где: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КСН - коэффициент снижения количества нарушений антимонопольного законодательства со стороны Департамента по сравнению с предыдущим годом;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КН</w:t>
      </w:r>
      <w:r>
        <w:rPr>
          <w:sz w:val="26"/>
          <w:szCs w:val="26"/>
          <w:vertAlign w:val="subscript"/>
        </w:rPr>
        <w:t>пг</w:t>
      </w:r>
      <w:r>
        <w:rPr>
          <w:sz w:val="26"/>
          <w:szCs w:val="26"/>
        </w:rPr>
        <w:t xml:space="preserve"> - количество нарушений антимонопольного законодательства 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со стороны Департамента в предыдущем году;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КНоп - количество нарушений антимонопольного законодательства 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со стороны Департамента в отчетном периоде.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При расчете коэффициента снижения количества нарушений антимонопольного законодательства со стороны Департамента под нарушением антимонопольного законодательства со стороны Департамента понимаются: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- возбужденные антимонопольным органом в отношении Департамента антимонопольные дела;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- выданные антимонопольным органом Департаменту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-направленные антимонопольным органом Департаменту предостережения о недопустимости совершения действий, которые могут привести к нарушению антимонопольного законодательства.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8. Доля проектов нормативных правовых актов Департамента, разработчиком которых является Департамент, в которых выявлены риски нарушения антимонопольного законодательства, рассчитывается по формуле: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position w:val="-29"/>
          <w:sz w:val="26"/>
          <w:szCs w:val="26"/>
        </w:rPr>
        <w:drawing>
          <wp:inline distT="0" distB="0" distL="0" distR="0">
            <wp:extent cx="1508125" cy="506095"/>
            <wp:effectExtent l="0" t="0" r="158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24" r="23145"/>
                    <a:stretch>
                      <a:fillRect/>
                    </a:stretch>
                  </pic:blipFill>
                  <pic:spPr>
                    <a:xfrm>
                      <a:off x="0" y="0"/>
                      <a:ext cx="1508338" cy="50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, где: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Дпнпа - доля проектов нормативных правовых актов, в которых выявлены риски нарушения антимонопольного законодательства;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Кпнпа - количество проектов нормативных правовых актов, в которых Департаментом выявлены риски нарушения антимонопольного законодательства (в отчетном периоде);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КНоп - количество нормативных правовых актов, в которых антимонопольным органом выявлены нарушения антимонопольного законодательства (в отчетном периоде).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9. Доля нормативных правовых актов Департамента, разработчиком которых является Департамент, в которых выявлены риски нарушения антимонопольного законодательства, рассчитывается по формуле: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position w:val="-29"/>
          <w:sz w:val="26"/>
          <w:szCs w:val="26"/>
        </w:rPr>
        <w:drawing>
          <wp:inline distT="0" distB="0" distL="0" distR="0">
            <wp:extent cx="1333500" cy="552450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172"/>
                    <a:stretch>
                      <a:fillRect/>
                    </a:stretch>
                  </pic:blipFill>
                  <pic:spPr>
                    <a:xfrm>
                      <a:off x="0" y="0"/>
                      <a:ext cx="1333773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, где 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Днпа - доля нормативных правовых актов, в которых выявлены риски нарушения антимонопольного законодательства;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Кпнпа - количество нормативных правовых актов, в которых Департаментом, выявлены риски нарушения антимонопольного законодательства (в отчетном периоде);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КНоп - количество нормативных правовых актов, в которых антимонопольным органом выявлены нарушения антимонопольного законодательства (в отчетном периоде).</w:t>
      </w:r>
    </w:p>
    <w:p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6"/>
          <w:szCs w:val="26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III. Оценка значений КПЭ для Департамента в целом и КПЭ для уполномоченного подразделения Департамента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10. Оценка значений КПЭ «коэффициент снижения количества нарушений антимонопольного законодательства со стороны Департамента (по сравнению с предыдущим годом)».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Ключевой показатель «коэффициент снижения количества нарушений антимонопольного законодательства со стороны Департамента (по сравнению с предыдущим годом)» соотносится с ключевым показателем мероприятий, предусмотренным </w:t>
      </w:r>
      <w:r>
        <w:fldChar w:fldCharType="begin"/>
      </w:r>
      <w:r>
        <w:instrText xml:space="preserve"> HYPERLINK "consultantplus://offline/ref=2FCC78DC3AB5453FB44C541B26A479B9F285D738D5F2313C5F0D0E4E95121CDD2D12F88C739D1DA8AAD9F448D2DA216F12CD7579758F3ABCh8hCC" </w:instrText>
      </w:r>
      <w:r>
        <w:fldChar w:fldCharType="separate"/>
      </w:r>
      <w:r>
        <w:rPr>
          <w:sz w:val="26"/>
          <w:szCs w:val="26"/>
        </w:rPr>
        <w:t>подпунктом «б» пункта 1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Национального плана развития конкуренции в Российской Федерации на 2018 - 2020 годы (далее - Национальный план), утвержденным Указом Президента РФ от 21 декабря 2017 года № 618 «Об основных направлениях государственной политики по развитию конкуренции», а именно: «снижение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годом».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Ежегодная оценка значения КПЭ «коэффициент снижения количества нарушений антимонопольного законодательства со стороны Департамента (по сравнению с предыдущим годом)» призвана обеспечить понимание об эффективности функционирования антимонопольного комплаенса в Департаменте и о соответствии мероприятий антимонопольного комплаенса Департамента направлениям совершенствования государственной политики по развитию конкуренции, установленных Национальным </w:t>
      </w:r>
      <w:r>
        <w:fldChar w:fldCharType="begin"/>
      </w:r>
      <w:r>
        <w:instrText xml:space="preserve"> HYPERLINK "consultantplus://offline/ref=2FCC78DC3AB5453FB44C541B26A479B9F285D738D5F2313C5F0D0E4E95121CDD2D12F88C739D1DABADD9F448D2DA216F12CD7579758F3ABCh8hCC" </w:instrText>
      </w:r>
      <w:r>
        <w:fldChar w:fldCharType="separate"/>
      </w:r>
      <w:r>
        <w:rPr>
          <w:sz w:val="26"/>
          <w:szCs w:val="26"/>
        </w:rPr>
        <w:t>планом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.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11. Оценка значений КПЭ «доля проектов нормативных правовых актов, разработчиком которых является Департамент, в которых выявлены риски нарушения антимонопольного законодательства» и «доля нормативных правовых актов, разработчиком которых является Департамент, в которых выявлены риски нарушения антимонопольного законодательства».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Оценка вышеуказанных значений КПЭ направлена на понимание эффективности мероприятий антимонопольного комплаенса, предусмотренных </w:t>
      </w:r>
      <w:r>
        <w:fldChar w:fldCharType="begin"/>
      </w:r>
      <w:r>
        <w:instrText xml:space="preserve"> HYPERLINK "consultantplus://offline/ref=2FCC78DC3AB5453FB44C541B26A479B9F38DDB3CD4F0313C5F0D0E4E95121CDD2D12F88C739D1DA9ABD9F448D2DA216F12CD7579758F3ABCh8hCC" </w:instrText>
      </w:r>
      <w:r>
        <w:fldChar w:fldCharType="separate"/>
      </w:r>
      <w:r>
        <w:rPr>
          <w:sz w:val="26"/>
          <w:szCs w:val="26"/>
        </w:rPr>
        <w:t>подпунктами «б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» и </w:t>
      </w:r>
      <w:r>
        <w:fldChar w:fldCharType="begin"/>
      </w:r>
      <w:r>
        <w:instrText xml:space="preserve"> HYPERLINK "consultantplus://offline/ref=2FCC78DC3AB5453FB44C541B26A479B9F38DDB3CD4F0313C5F0D0E4E95121CDD2D12F88C739D1DA9A8D9F448D2DA216F12CD7579758F3ABCh8hCC" </w:instrText>
      </w:r>
      <w:r>
        <w:fldChar w:fldCharType="separate"/>
      </w:r>
      <w:r>
        <w:rPr>
          <w:sz w:val="26"/>
          <w:szCs w:val="26"/>
        </w:rPr>
        <w:t>«в» пункта 15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Методических рекомендаций.</w:t>
      </w:r>
    </w:p>
    <w:p>
      <w:pPr>
        <w:autoSpaceDE w:val="0"/>
        <w:autoSpaceDN w:val="0"/>
        <w:adjustRightInd w:val="0"/>
        <w:spacing w:after="0" w:line="240" w:lineRule="auto"/>
        <w:ind w:firstLine="717" w:firstLineChars="276"/>
        <w:jc w:val="both"/>
        <w:rPr>
          <w:sz w:val="26"/>
          <w:szCs w:val="26"/>
        </w:rPr>
      </w:pPr>
      <w:r>
        <w:rPr>
          <w:sz w:val="26"/>
          <w:szCs w:val="26"/>
        </w:rPr>
        <w:t>При эффективном проведении мероприятий по анализу нормативных правовых актов, регулирующих сферу деятельности Департамента и их проектов на предмет выявления заложенных в них рисков нарушения антимонопольного законодательства (то есть, при высоком значении числителя) должно наблюдаться уменьшение нормативных правовых актов, регулирующих сферу деятельности Департамента, в отношении которых антимонопольным органом выявлены нарушения антимонопольного законодательства (то есть, низкое значение знаменателя). Таким образом, значение КПЭ будет тем выше, чем эффективней данные мероприятия антимонопольного комплаенса будут осуществляться в Департаменте. И наоборот, при невысоком значении долей нормативных правовых актов и их проектов (числитель) наряду с высоким количеством выявленных антимонопольным органом нарушений антимонопольного законодательства в таких актах (знаменатель), низкие значения КПЭ будут свидетельствовать о низкой эффективности данных мероприятий.</w:t>
      </w:r>
    </w:p>
    <w:p>
      <w:pPr>
        <w:spacing w:after="0" w:line="240" w:lineRule="auto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397" w:right="709" w:bottom="1134" w:left="1559" w:header="709" w:footer="709" w:gutter="0"/>
      <w:cols w:space="708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AA3F0F"/>
    <w:multiLevelType w:val="singleLevel"/>
    <w:tmpl w:val="9CAA3F0F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3F3045EA"/>
    <w:multiLevelType w:val="multilevel"/>
    <w:tmpl w:val="3F3045EA"/>
    <w:lvl w:ilvl="0" w:tentative="0">
      <w:start w:val="1"/>
      <w:numFmt w:val="decimal"/>
      <w:lvlText w:val="%1."/>
      <w:lvlJc w:val="left"/>
      <w:pPr>
        <w:ind w:left="1146" w:hanging="360"/>
      </w:pPr>
    </w:lvl>
    <w:lvl w:ilvl="1" w:tentative="0">
      <w:start w:val="1"/>
      <w:numFmt w:val="lowerLetter"/>
      <w:lvlText w:val="%2."/>
      <w:lvlJc w:val="left"/>
      <w:pPr>
        <w:ind w:left="1866" w:hanging="360"/>
      </w:pPr>
    </w:lvl>
    <w:lvl w:ilvl="2" w:tentative="0">
      <w:start w:val="1"/>
      <w:numFmt w:val="lowerRoman"/>
      <w:lvlText w:val="%3."/>
      <w:lvlJc w:val="right"/>
      <w:pPr>
        <w:ind w:left="2586" w:hanging="180"/>
      </w:pPr>
    </w:lvl>
    <w:lvl w:ilvl="3" w:tentative="0">
      <w:start w:val="1"/>
      <w:numFmt w:val="decimal"/>
      <w:lvlText w:val="%4."/>
      <w:lvlJc w:val="left"/>
      <w:pPr>
        <w:ind w:left="3306" w:hanging="360"/>
      </w:pPr>
    </w:lvl>
    <w:lvl w:ilvl="4" w:tentative="0">
      <w:start w:val="1"/>
      <w:numFmt w:val="lowerLetter"/>
      <w:lvlText w:val="%5."/>
      <w:lvlJc w:val="left"/>
      <w:pPr>
        <w:ind w:left="4026" w:hanging="360"/>
      </w:pPr>
    </w:lvl>
    <w:lvl w:ilvl="5" w:tentative="0">
      <w:start w:val="1"/>
      <w:numFmt w:val="lowerRoman"/>
      <w:lvlText w:val="%6."/>
      <w:lvlJc w:val="right"/>
      <w:pPr>
        <w:ind w:left="4746" w:hanging="180"/>
      </w:pPr>
    </w:lvl>
    <w:lvl w:ilvl="6" w:tentative="0">
      <w:start w:val="1"/>
      <w:numFmt w:val="decimal"/>
      <w:lvlText w:val="%7."/>
      <w:lvlJc w:val="left"/>
      <w:pPr>
        <w:ind w:left="5466" w:hanging="360"/>
      </w:pPr>
    </w:lvl>
    <w:lvl w:ilvl="7" w:tentative="0">
      <w:start w:val="1"/>
      <w:numFmt w:val="lowerLetter"/>
      <w:lvlText w:val="%8."/>
      <w:lvlJc w:val="left"/>
      <w:pPr>
        <w:ind w:left="6186" w:hanging="360"/>
      </w:pPr>
    </w:lvl>
    <w:lvl w:ilvl="8" w:tentative="0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6225ADE2"/>
    <w:multiLevelType w:val="singleLevel"/>
    <w:tmpl w:val="6225ADE2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567"/>
  <w:drawingGridHorizontalSpacing w:val="120"/>
  <w:displayHorizontalDrawingGridEvery w:val="2"/>
  <w:doNotShadeFormData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9C"/>
    <w:rsid w:val="000003E5"/>
    <w:rsid w:val="0000090B"/>
    <w:rsid w:val="00001263"/>
    <w:rsid w:val="00002F1E"/>
    <w:rsid w:val="00003429"/>
    <w:rsid w:val="00005B0D"/>
    <w:rsid w:val="000105A0"/>
    <w:rsid w:val="0001365C"/>
    <w:rsid w:val="0001455B"/>
    <w:rsid w:val="00015C2D"/>
    <w:rsid w:val="00016912"/>
    <w:rsid w:val="00017E5B"/>
    <w:rsid w:val="000230D1"/>
    <w:rsid w:val="0002398D"/>
    <w:rsid w:val="0002597C"/>
    <w:rsid w:val="000306BD"/>
    <w:rsid w:val="00031C83"/>
    <w:rsid w:val="00033E8A"/>
    <w:rsid w:val="00035B97"/>
    <w:rsid w:val="00046898"/>
    <w:rsid w:val="00046DEE"/>
    <w:rsid w:val="00051E8C"/>
    <w:rsid w:val="000550E5"/>
    <w:rsid w:val="00055DC8"/>
    <w:rsid w:val="00057FA7"/>
    <w:rsid w:val="0006098A"/>
    <w:rsid w:val="00063C10"/>
    <w:rsid w:val="000645C8"/>
    <w:rsid w:val="000653B2"/>
    <w:rsid w:val="000656F8"/>
    <w:rsid w:val="00065F0D"/>
    <w:rsid w:val="00070639"/>
    <w:rsid w:val="00073AB6"/>
    <w:rsid w:val="00074957"/>
    <w:rsid w:val="00074F00"/>
    <w:rsid w:val="00077ECA"/>
    <w:rsid w:val="00080904"/>
    <w:rsid w:val="000819EF"/>
    <w:rsid w:val="000829C9"/>
    <w:rsid w:val="00083733"/>
    <w:rsid w:val="00086AFD"/>
    <w:rsid w:val="000872DD"/>
    <w:rsid w:val="00090D01"/>
    <w:rsid w:val="0009173D"/>
    <w:rsid w:val="0009407C"/>
    <w:rsid w:val="00095559"/>
    <w:rsid w:val="0009668B"/>
    <w:rsid w:val="000A0024"/>
    <w:rsid w:val="000A0060"/>
    <w:rsid w:val="000A06F3"/>
    <w:rsid w:val="000A1056"/>
    <w:rsid w:val="000A18CB"/>
    <w:rsid w:val="000A1C75"/>
    <w:rsid w:val="000A305C"/>
    <w:rsid w:val="000A3B6A"/>
    <w:rsid w:val="000B0780"/>
    <w:rsid w:val="000B0ACE"/>
    <w:rsid w:val="000B0C11"/>
    <w:rsid w:val="000B10FE"/>
    <w:rsid w:val="000B1291"/>
    <w:rsid w:val="000B13C4"/>
    <w:rsid w:val="000B247E"/>
    <w:rsid w:val="000B293A"/>
    <w:rsid w:val="000B35BB"/>
    <w:rsid w:val="000B6360"/>
    <w:rsid w:val="000C0414"/>
    <w:rsid w:val="000C16E1"/>
    <w:rsid w:val="000C208E"/>
    <w:rsid w:val="000C2616"/>
    <w:rsid w:val="000C5DAF"/>
    <w:rsid w:val="000C6E52"/>
    <w:rsid w:val="000D04B8"/>
    <w:rsid w:val="000D095D"/>
    <w:rsid w:val="000D1F28"/>
    <w:rsid w:val="000D219A"/>
    <w:rsid w:val="000D2BEF"/>
    <w:rsid w:val="000D2F1C"/>
    <w:rsid w:val="000D403E"/>
    <w:rsid w:val="000D529C"/>
    <w:rsid w:val="000D71FA"/>
    <w:rsid w:val="000D7DEC"/>
    <w:rsid w:val="000E2CD9"/>
    <w:rsid w:val="000E41B4"/>
    <w:rsid w:val="000E50FE"/>
    <w:rsid w:val="000E6577"/>
    <w:rsid w:val="000E7F3B"/>
    <w:rsid w:val="000F4482"/>
    <w:rsid w:val="000F59E3"/>
    <w:rsid w:val="000F5EFD"/>
    <w:rsid w:val="00100E3C"/>
    <w:rsid w:val="0010156B"/>
    <w:rsid w:val="001110F4"/>
    <w:rsid w:val="00121F78"/>
    <w:rsid w:val="001227E5"/>
    <w:rsid w:val="001249C2"/>
    <w:rsid w:val="00126CF6"/>
    <w:rsid w:val="0012764D"/>
    <w:rsid w:val="001314C8"/>
    <w:rsid w:val="00131944"/>
    <w:rsid w:val="001326F7"/>
    <w:rsid w:val="00134CE4"/>
    <w:rsid w:val="00140620"/>
    <w:rsid w:val="001416A6"/>
    <w:rsid w:val="0014173A"/>
    <w:rsid w:val="00144909"/>
    <w:rsid w:val="00144CF9"/>
    <w:rsid w:val="00144E12"/>
    <w:rsid w:val="0014522E"/>
    <w:rsid w:val="0014583C"/>
    <w:rsid w:val="0014738E"/>
    <w:rsid w:val="001519D6"/>
    <w:rsid w:val="00155256"/>
    <w:rsid w:val="00155481"/>
    <w:rsid w:val="00155884"/>
    <w:rsid w:val="00156221"/>
    <w:rsid w:val="001609F9"/>
    <w:rsid w:val="00160C4A"/>
    <w:rsid w:val="00160C95"/>
    <w:rsid w:val="001615E5"/>
    <w:rsid w:val="001616E2"/>
    <w:rsid w:val="00163673"/>
    <w:rsid w:val="00164163"/>
    <w:rsid w:val="00166BC9"/>
    <w:rsid w:val="0017116A"/>
    <w:rsid w:val="00171AC2"/>
    <w:rsid w:val="0017527F"/>
    <w:rsid w:val="00175606"/>
    <w:rsid w:val="00176184"/>
    <w:rsid w:val="001776CA"/>
    <w:rsid w:val="00180F9E"/>
    <w:rsid w:val="00181640"/>
    <w:rsid w:val="00181964"/>
    <w:rsid w:val="00182B95"/>
    <w:rsid w:val="0018320D"/>
    <w:rsid w:val="00183454"/>
    <w:rsid w:val="00184065"/>
    <w:rsid w:val="00184655"/>
    <w:rsid w:val="00187FD7"/>
    <w:rsid w:val="0019294F"/>
    <w:rsid w:val="001A166F"/>
    <w:rsid w:val="001A1AB5"/>
    <w:rsid w:val="001B1EE0"/>
    <w:rsid w:val="001B4A80"/>
    <w:rsid w:val="001B6498"/>
    <w:rsid w:val="001B7724"/>
    <w:rsid w:val="001B7D0F"/>
    <w:rsid w:val="001C0AA1"/>
    <w:rsid w:val="001C2131"/>
    <w:rsid w:val="001C5FCE"/>
    <w:rsid w:val="001D3FD8"/>
    <w:rsid w:val="001D659C"/>
    <w:rsid w:val="001E00B2"/>
    <w:rsid w:val="001E3741"/>
    <w:rsid w:val="001E5FF5"/>
    <w:rsid w:val="001E647B"/>
    <w:rsid w:val="001F2EB0"/>
    <w:rsid w:val="001F38AF"/>
    <w:rsid w:val="001F6D8B"/>
    <w:rsid w:val="001F7B56"/>
    <w:rsid w:val="00201A2C"/>
    <w:rsid w:val="00201A5D"/>
    <w:rsid w:val="00202B57"/>
    <w:rsid w:val="002030E0"/>
    <w:rsid w:val="00203355"/>
    <w:rsid w:val="00204091"/>
    <w:rsid w:val="002044B6"/>
    <w:rsid w:val="00205BB8"/>
    <w:rsid w:val="00205E5F"/>
    <w:rsid w:val="00207949"/>
    <w:rsid w:val="00207E16"/>
    <w:rsid w:val="00210954"/>
    <w:rsid w:val="00210BDC"/>
    <w:rsid w:val="00212CEF"/>
    <w:rsid w:val="00212FA8"/>
    <w:rsid w:val="00214530"/>
    <w:rsid w:val="002146CD"/>
    <w:rsid w:val="002168AE"/>
    <w:rsid w:val="00216CC1"/>
    <w:rsid w:val="00217B5D"/>
    <w:rsid w:val="00217CDC"/>
    <w:rsid w:val="00217F76"/>
    <w:rsid w:val="00221A0A"/>
    <w:rsid w:val="00223C39"/>
    <w:rsid w:val="0022652B"/>
    <w:rsid w:val="00232496"/>
    <w:rsid w:val="002329F3"/>
    <w:rsid w:val="00233C92"/>
    <w:rsid w:val="002342FA"/>
    <w:rsid w:val="00235927"/>
    <w:rsid w:val="00237388"/>
    <w:rsid w:val="00237EA8"/>
    <w:rsid w:val="002416AE"/>
    <w:rsid w:val="00242B3A"/>
    <w:rsid w:val="00243AC7"/>
    <w:rsid w:val="002500F1"/>
    <w:rsid w:val="00252271"/>
    <w:rsid w:val="0025348C"/>
    <w:rsid w:val="0026777C"/>
    <w:rsid w:val="00267AA0"/>
    <w:rsid w:val="00267F10"/>
    <w:rsid w:val="00271AFB"/>
    <w:rsid w:val="002732FE"/>
    <w:rsid w:val="00274AE3"/>
    <w:rsid w:val="0027683B"/>
    <w:rsid w:val="0027684C"/>
    <w:rsid w:val="00277BB1"/>
    <w:rsid w:val="00286859"/>
    <w:rsid w:val="00291213"/>
    <w:rsid w:val="002917EB"/>
    <w:rsid w:val="00292655"/>
    <w:rsid w:val="00293C5A"/>
    <w:rsid w:val="00296108"/>
    <w:rsid w:val="002A06DA"/>
    <w:rsid w:val="002A0823"/>
    <w:rsid w:val="002A3E64"/>
    <w:rsid w:val="002A60B4"/>
    <w:rsid w:val="002A6707"/>
    <w:rsid w:val="002B283C"/>
    <w:rsid w:val="002B2C82"/>
    <w:rsid w:val="002B39E0"/>
    <w:rsid w:val="002B3A7F"/>
    <w:rsid w:val="002B3CC9"/>
    <w:rsid w:val="002B43B0"/>
    <w:rsid w:val="002B5851"/>
    <w:rsid w:val="002B5A38"/>
    <w:rsid w:val="002B7BA6"/>
    <w:rsid w:val="002C1506"/>
    <w:rsid w:val="002C4829"/>
    <w:rsid w:val="002C5811"/>
    <w:rsid w:val="002C69F8"/>
    <w:rsid w:val="002C6BA6"/>
    <w:rsid w:val="002D4340"/>
    <w:rsid w:val="002D521D"/>
    <w:rsid w:val="002D5BB9"/>
    <w:rsid w:val="002E16A0"/>
    <w:rsid w:val="002E439B"/>
    <w:rsid w:val="002E6FF6"/>
    <w:rsid w:val="002E7D97"/>
    <w:rsid w:val="002F072B"/>
    <w:rsid w:val="002F4AEF"/>
    <w:rsid w:val="002F7D55"/>
    <w:rsid w:val="00300330"/>
    <w:rsid w:val="00302147"/>
    <w:rsid w:val="003101AE"/>
    <w:rsid w:val="00311713"/>
    <w:rsid w:val="00314A13"/>
    <w:rsid w:val="00316DE9"/>
    <w:rsid w:val="0032528D"/>
    <w:rsid w:val="00325D10"/>
    <w:rsid w:val="00325D6B"/>
    <w:rsid w:val="003266FC"/>
    <w:rsid w:val="00327609"/>
    <w:rsid w:val="00330E28"/>
    <w:rsid w:val="00331239"/>
    <w:rsid w:val="0033389B"/>
    <w:rsid w:val="00334794"/>
    <w:rsid w:val="00336016"/>
    <w:rsid w:val="00336C14"/>
    <w:rsid w:val="00337063"/>
    <w:rsid w:val="00340B7B"/>
    <w:rsid w:val="00342308"/>
    <w:rsid w:val="003502CA"/>
    <w:rsid w:val="00353F57"/>
    <w:rsid w:val="00355F34"/>
    <w:rsid w:val="0035768D"/>
    <w:rsid w:val="00361581"/>
    <w:rsid w:val="003615D0"/>
    <w:rsid w:val="0036206A"/>
    <w:rsid w:val="003658FF"/>
    <w:rsid w:val="00366C0C"/>
    <w:rsid w:val="0037289B"/>
    <w:rsid w:val="003728CE"/>
    <w:rsid w:val="00372ABE"/>
    <w:rsid w:val="00373AD9"/>
    <w:rsid w:val="00374D89"/>
    <w:rsid w:val="00376B35"/>
    <w:rsid w:val="00377601"/>
    <w:rsid w:val="00377E38"/>
    <w:rsid w:val="003803DC"/>
    <w:rsid w:val="00381351"/>
    <w:rsid w:val="00382811"/>
    <w:rsid w:val="003842A1"/>
    <w:rsid w:val="00386784"/>
    <w:rsid w:val="00387799"/>
    <w:rsid w:val="00397729"/>
    <w:rsid w:val="003A0AFC"/>
    <w:rsid w:val="003A1BE5"/>
    <w:rsid w:val="003A24A3"/>
    <w:rsid w:val="003A3513"/>
    <w:rsid w:val="003A3C3A"/>
    <w:rsid w:val="003A6761"/>
    <w:rsid w:val="003B04B7"/>
    <w:rsid w:val="003B0647"/>
    <w:rsid w:val="003B0C34"/>
    <w:rsid w:val="003B63A7"/>
    <w:rsid w:val="003B7C3C"/>
    <w:rsid w:val="003C1CFD"/>
    <w:rsid w:val="003C499B"/>
    <w:rsid w:val="003D232A"/>
    <w:rsid w:val="003D2F7C"/>
    <w:rsid w:val="003D4295"/>
    <w:rsid w:val="003D46C3"/>
    <w:rsid w:val="003D54F5"/>
    <w:rsid w:val="003D717F"/>
    <w:rsid w:val="003D76CF"/>
    <w:rsid w:val="003D7AB5"/>
    <w:rsid w:val="003E39AB"/>
    <w:rsid w:val="003E5083"/>
    <w:rsid w:val="003F1B5E"/>
    <w:rsid w:val="003F219D"/>
    <w:rsid w:val="003F4D8A"/>
    <w:rsid w:val="003F54FE"/>
    <w:rsid w:val="003F6B7F"/>
    <w:rsid w:val="00400DCF"/>
    <w:rsid w:val="00402278"/>
    <w:rsid w:val="0040315F"/>
    <w:rsid w:val="00406283"/>
    <w:rsid w:val="00406ED9"/>
    <w:rsid w:val="00407F4B"/>
    <w:rsid w:val="0041119D"/>
    <w:rsid w:val="004117EF"/>
    <w:rsid w:val="0041220C"/>
    <w:rsid w:val="0041312D"/>
    <w:rsid w:val="00413286"/>
    <w:rsid w:val="00413F65"/>
    <w:rsid w:val="004166CB"/>
    <w:rsid w:val="00417CC3"/>
    <w:rsid w:val="00423B99"/>
    <w:rsid w:val="00426055"/>
    <w:rsid w:val="004264D7"/>
    <w:rsid w:val="00430A5D"/>
    <w:rsid w:val="00431D20"/>
    <w:rsid w:val="0043246A"/>
    <w:rsid w:val="00433C19"/>
    <w:rsid w:val="00434197"/>
    <w:rsid w:val="004353C6"/>
    <w:rsid w:val="00435991"/>
    <w:rsid w:val="00435A19"/>
    <w:rsid w:val="00436E84"/>
    <w:rsid w:val="004370E3"/>
    <w:rsid w:val="00440021"/>
    <w:rsid w:val="004408F7"/>
    <w:rsid w:val="004412AF"/>
    <w:rsid w:val="00446B9A"/>
    <w:rsid w:val="00450458"/>
    <w:rsid w:val="00451CBA"/>
    <w:rsid w:val="00451ED0"/>
    <w:rsid w:val="00453336"/>
    <w:rsid w:val="00455562"/>
    <w:rsid w:val="004604F0"/>
    <w:rsid w:val="00461138"/>
    <w:rsid w:val="0046234A"/>
    <w:rsid w:val="00462A06"/>
    <w:rsid w:val="00464519"/>
    <w:rsid w:val="00465BFA"/>
    <w:rsid w:val="00470A11"/>
    <w:rsid w:val="00471684"/>
    <w:rsid w:val="0047233E"/>
    <w:rsid w:val="00475530"/>
    <w:rsid w:val="00477CA7"/>
    <w:rsid w:val="00480189"/>
    <w:rsid w:val="004862AB"/>
    <w:rsid w:val="004874F9"/>
    <w:rsid w:val="00492F07"/>
    <w:rsid w:val="00494028"/>
    <w:rsid w:val="004940E4"/>
    <w:rsid w:val="004962D3"/>
    <w:rsid w:val="00497D4C"/>
    <w:rsid w:val="004A0000"/>
    <w:rsid w:val="004A39F0"/>
    <w:rsid w:val="004B085B"/>
    <w:rsid w:val="004B25BF"/>
    <w:rsid w:val="004B319D"/>
    <w:rsid w:val="004B4075"/>
    <w:rsid w:val="004B4153"/>
    <w:rsid w:val="004B494D"/>
    <w:rsid w:val="004B58E0"/>
    <w:rsid w:val="004B7909"/>
    <w:rsid w:val="004C2AD6"/>
    <w:rsid w:val="004C3894"/>
    <w:rsid w:val="004C682A"/>
    <w:rsid w:val="004C7AB6"/>
    <w:rsid w:val="004D1E91"/>
    <w:rsid w:val="004D3817"/>
    <w:rsid w:val="004D5B9C"/>
    <w:rsid w:val="004D6433"/>
    <w:rsid w:val="004E102A"/>
    <w:rsid w:val="004E2E43"/>
    <w:rsid w:val="004E480E"/>
    <w:rsid w:val="004E4FA9"/>
    <w:rsid w:val="004E789F"/>
    <w:rsid w:val="004F0DD2"/>
    <w:rsid w:val="004F2A66"/>
    <w:rsid w:val="004F43BC"/>
    <w:rsid w:val="0050066E"/>
    <w:rsid w:val="00502F8B"/>
    <w:rsid w:val="00504C0A"/>
    <w:rsid w:val="00504DE4"/>
    <w:rsid w:val="00505573"/>
    <w:rsid w:val="005078B5"/>
    <w:rsid w:val="00513A2F"/>
    <w:rsid w:val="00513B03"/>
    <w:rsid w:val="00513BE3"/>
    <w:rsid w:val="00515344"/>
    <w:rsid w:val="0052189F"/>
    <w:rsid w:val="0052256C"/>
    <w:rsid w:val="00525225"/>
    <w:rsid w:val="00526581"/>
    <w:rsid w:val="005312B6"/>
    <w:rsid w:val="005354ED"/>
    <w:rsid w:val="00540139"/>
    <w:rsid w:val="00540FF5"/>
    <w:rsid w:val="005456D5"/>
    <w:rsid w:val="00545DA1"/>
    <w:rsid w:val="00546156"/>
    <w:rsid w:val="00546258"/>
    <w:rsid w:val="00551C73"/>
    <w:rsid w:val="00553408"/>
    <w:rsid w:val="00557206"/>
    <w:rsid w:val="00564A47"/>
    <w:rsid w:val="00565482"/>
    <w:rsid w:val="00565CEC"/>
    <w:rsid w:val="00566990"/>
    <w:rsid w:val="005669FE"/>
    <w:rsid w:val="00566F54"/>
    <w:rsid w:val="00567521"/>
    <w:rsid w:val="0056785A"/>
    <w:rsid w:val="005702A9"/>
    <w:rsid w:val="00570A8A"/>
    <w:rsid w:val="00570A8F"/>
    <w:rsid w:val="00573F94"/>
    <w:rsid w:val="005748B8"/>
    <w:rsid w:val="00575180"/>
    <w:rsid w:val="00577452"/>
    <w:rsid w:val="00580510"/>
    <w:rsid w:val="0058054F"/>
    <w:rsid w:val="00581F95"/>
    <w:rsid w:val="0058472B"/>
    <w:rsid w:val="00590D75"/>
    <w:rsid w:val="00590DF0"/>
    <w:rsid w:val="00590E95"/>
    <w:rsid w:val="0059311A"/>
    <w:rsid w:val="00593210"/>
    <w:rsid w:val="005932F3"/>
    <w:rsid w:val="0059375E"/>
    <w:rsid w:val="005970BA"/>
    <w:rsid w:val="00597401"/>
    <w:rsid w:val="00597EB6"/>
    <w:rsid w:val="005A06C7"/>
    <w:rsid w:val="005A19FD"/>
    <w:rsid w:val="005A2688"/>
    <w:rsid w:val="005A3559"/>
    <w:rsid w:val="005A37B4"/>
    <w:rsid w:val="005A37C9"/>
    <w:rsid w:val="005A6DD4"/>
    <w:rsid w:val="005A71B5"/>
    <w:rsid w:val="005A7213"/>
    <w:rsid w:val="005A733E"/>
    <w:rsid w:val="005B1373"/>
    <w:rsid w:val="005B2617"/>
    <w:rsid w:val="005B37BA"/>
    <w:rsid w:val="005B4B07"/>
    <w:rsid w:val="005B63C9"/>
    <w:rsid w:val="005B66A2"/>
    <w:rsid w:val="005B66F9"/>
    <w:rsid w:val="005B78A8"/>
    <w:rsid w:val="005C29D1"/>
    <w:rsid w:val="005C2C84"/>
    <w:rsid w:val="005C34D9"/>
    <w:rsid w:val="005C5BF9"/>
    <w:rsid w:val="005C7CF7"/>
    <w:rsid w:val="005D15E5"/>
    <w:rsid w:val="005D2D46"/>
    <w:rsid w:val="005D5BF6"/>
    <w:rsid w:val="005D6241"/>
    <w:rsid w:val="005E0C81"/>
    <w:rsid w:val="005E14B2"/>
    <w:rsid w:val="005E2DDB"/>
    <w:rsid w:val="005E4846"/>
    <w:rsid w:val="005E5C51"/>
    <w:rsid w:val="005E62A9"/>
    <w:rsid w:val="005E67E2"/>
    <w:rsid w:val="005F0E14"/>
    <w:rsid w:val="005F23DB"/>
    <w:rsid w:val="005F318F"/>
    <w:rsid w:val="005F32A0"/>
    <w:rsid w:val="005F3FD3"/>
    <w:rsid w:val="005F5212"/>
    <w:rsid w:val="005F52D3"/>
    <w:rsid w:val="005F78FA"/>
    <w:rsid w:val="00600ABB"/>
    <w:rsid w:val="00600FDE"/>
    <w:rsid w:val="00602CBD"/>
    <w:rsid w:val="00603225"/>
    <w:rsid w:val="00603BB1"/>
    <w:rsid w:val="00604866"/>
    <w:rsid w:val="0060560A"/>
    <w:rsid w:val="0060582B"/>
    <w:rsid w:val="0060715D"/>
    <w:rsid w:val="00611645"/>
    <w:rsid w:val="00611A16"/>
    <w:rsid w:val="00613878"/>
    <w:rsid w:val="00614F62"/>
    <w:rsid w:val="0061505A"/>
    <w:rsid w:val="00615749"/>
    <w:rsid w:val="006157B8"/>
    <w:rsid w:val="00617041"/>
    <w:rsid w:val="0061748C"/>
    <w:rsid w:val="006217FA"/>
    <w:rsid w:val="0062328E"/>
    <w:rsid w:val="006247FD"/>
    <w:rsid w:val="006306D3"/>
    <w:rsid w:val="00630C0E"/>
    <w:rsid w:val="00631750"/>
    <w:rsid w:val="006370D5"/>
    <w:rsid w:val="00640997"/>
    <w:rsid w:val="006417C6"/>
    <w:rsid w:val="00642791"/>
    <w:rsid w:val="006437CA"/>
    <w:rsid w:val="00643B4C"/>
    <w:rsid w:val="00643C74"/>
    <w:rsid w:val="00650E1B"/>
    <w:rsid w:val="006543DF"/>
    <w:rsid w:val="006546BF"/>
    <w:rsid w:val="00655AD7"/>
    <w:rsid w:val="0065679B"/>
    <w:rsid w:val="00661B56"/>
    <w:rsid w:val="0066212E"/>
    <w:rsid w:val="00663453"/>
    <w:rsid w:val="0066738B"/>
    <w:rsid w:val="0067050C"/>
    <w:rsid w:val="00671BBA"/>
    <w:rsid w:val="00677DF8"/>
    <w:rsid w:val="00681EB0"/>
    <w:rsid w:val="00682406"/>
    <w:rsid w:val="00682644"/>
    <w:rsid w:val="00682E22"/>
    <w:rsid w:val="00684B5B"/>
    <w:rsid w:val="00684F45"/>
    <w:rsid w:val="00686551"/>
    <w:rsid w:val="0068778F"/>
    <w:rsid w:val="00687AC6"/>
    <w:rsid w:val="00695EC1"/>
    <w:rsid w:val="00696BA0"/>
    <w:rsid w:val="006A0287"/>
    <w:rsid w:val="006A0825"/>
    <w:rsid w:val="006A34FD"/>
    <w:rsid w:val="006A3FF7"/>
    <w:rsid w:val="006A5986"/>
    <w:rsid w:val="006A5BCC"/>
    <w:rsid w:val="006A5E77"/>
    <w:rsid w:val="006A7373"/>
    <w:rsid w:val="006A75F1"/>
    <w:rsid w:val="006B0579"/>
    <w:rsid w:val="006B141D"/>
    <w:rsid w:val="006B1580"/>
    <w:rsid w:val="006B24F2"/>
    <w:rsid w:val="006B43CD"/>
    <w:rsid w:val="006B5177"/>
    <w:rsid w:val="006B5404"/>
    <w:rsid w:val="006B6469"/>
    <w:rsid w:val="006B7376"/>
    <w:rsid w:val="006B7598"/>
    <w:rsid w:val="006B7DAB"/>
    <w:rsid w:val="006C337D"/>
    <w:rsid w:val="006C5A72"/>
    <w:rsid w:val="006C6400"/>
    <w:rsid w:val="006D0C49"/>
    <w:rsid w:val="006D17B8"/>
    <w:rsid w:val="006D1B54"/>
    <w:rsid w:val="006D2D3C"/>
    <w:rsid w:val="006D32B4"/>
    <w:rsid w:val="006D391E"/>
    <w:rsid w:val="006D4EE9"/>
    <w:rsid w:val="006D6CC1"/>
    <w:rsid w:val="006E0404"/>
    <w:rsid w:val="006E051A"/>
    <w:rsid w:val="006E27D7"/>
    <w:rsid w:val="006E4584"/>
    <w:rsid w:val="006E4FE7"/>
    <w:rsid w:val="006F1AC9"/>
    <w:rsid w:val="006F34DF"/>
    <w:rsid w:val="006F700D"/>
    <w:rsid w:val="00701813"/>
    <w:rsid w:val="00701CEE"/>
    <w:rsid w:val="007024C7"/>
    <w:rsid w:val="00702D1A"/>
    <w:rsid w:val="007037AD"/>
    <w:rsid w:val="00705255"/>
    <w:rsid w:val="00705549"/>
    <w:rsid w:val="0070652B"/>
    <w:rsid w:val="00707077"/>
    <w:rsid w:val="0071058B"/>
    <w:rsid w:val="00710ABF"/>
    <w:rsid w:val="00712593"/>
    <w:rsid w:val="00712B69"/>
    <w:rsid w:val="00714CE1"/>
    <w:rsid w:val="007157CF"/>
    <w:rsid w:val="00715F56"/>
    <w:rsid w:val="00716E5F"/>
    <w:rsid w:val="0072047B"/>
    <w:rsid w:val="00720EA2"/>
    <w:rsid w:val="00722250"/>
    <w:rsid w:val="00724873"/>
    <w:rsid w:val="0072497A"/>
    <w:rsid w:val="00730060"/>
    <w:rsid w:val="00732B23"/>
    <w:rsid w:val="0073360E"/>
    <w:rsid w:val="00733F69"/>
    <w:rsid w:val="00734564"/>
    <w:rsid w:val="00734AFB"/>
    <w:rsid w:val="00736323"/>
    <w:rsid w:val="00737ECA"/>
    <w:rsid w:val="00740F42"/>
    <w:rsid w:val="00741849"/>
    <w:rsid w:val="00741B4A"/>
    <w:rsid w:val="00743A31"/>
    <w:rsid w:val="0074724E"/>
    <w:rsid w:val="007513BD"/>
    <w:rsid w:val="00754DB0"/>
    <w:rsid w:val="0076101E"/>
    <w:rsid w:val="007613D7"/>
    <w:rsid w:val="00761B5A"/>
    <w:rsid w:val="007628EA"/>
    <w:rsid w:val="00762C67"/>
    <w:rsid w:val="00764D83"/>
    <w:rsid w:val="00764E79"/>
    <w:rsid w:val="0076552F"/>
    <w:rsid w:val="007660BA"/>
    <w:rsid w:val="007723F8"/>
    <w:rsid w:val="007810EB"/>
    <w:rsid w:val="00785B9E"/>
    <w:rsid w:val="00786C17"/>
    <w:rsid w:val="007871A5"/>
    <w:rsid w:val="007873CE"/>
    <w:rsid w:val="00787F3D"/>
    <w:rsid w:val="00790D17"/>
    <w:rsid w:val="00791762"/>
    <w:rsid w:val="0079205C"/>
    <w:rsid w:val="007925DB"/>
    <w:rsid w:val="00793125"/>
    <w:rsid w:val="007937EF"/>
    <w:rsid w:val="00794AD2"/>
    <w:rsid w:val="0079579A"/>
    <w:rsid w:val="00796832"/>
    <w:rsid w:val="00797059"/>
    <w:rsid w:val="007A034F"/>
    <w:rsid w:val="007A0C1F"/>
    <w:rsid w:val="007A1D37"/>
    <w:rsid w:val="007A2CB3"/>
    <w:rsid w:val="007A37E8"/>
    <w:rsid w:val="007A5285"/>
    <w:rsid w:val="007A6F0D"/>
    <w:rsid w:val="007B0027"/>
    <w:rsid w:val="007B22F6"/>
    <w:rsid w:val="007B350D"/>
    <w:rsid w:val="007B46DC"/>
    <w:rsid w:val="007B57B4"/>
    <w:rsid w:val="007B6ABF"/>
    <w:rsid w:val="007B7BF7"/>
    <w:rsid w:val="007C1DAC"/>
    <w:rsid w:val="007C1DCC"/>
    <w:rsid w:val="007C3AA4"/>
    <w:rsid w:val="007C5C50"/>
    <w:rsid w:val="007C6796"/>
    <w:rsid w:val="007C68F6"/>
    <w:rsid w:val="007D0106"/>
    <w:rsid w:val="007D15D0"/>
    <w:rsid w:val="007D1A06"/>
    <w:rsid w:val="007D1EC8"/>
    <w:rsid w:val="007D7869"/>
    <w:rsid w:val="007E2892"/>
    <w:rsid w:val="007E4E36"/>
    <w:rsid w:val="007E53E0"/>
    <w:rsid w:val="007E5905"/>
    <w:rsid w:val="007E77B3"/>
    <w:rsid w:val="007F169D"/>
    <w:rsid w:val="007F1CA4"/>
    <w:rsid w:val="007F5C04"/>
    <w:rsid w:val="007F69F7"/>
    <w:rsid w:val="007F714C"/>
    <w:rsid w:val="00800679"/>
    <w:rsid w:val="00800815"/>
    <w:rsid w:val="008033A1"/>
    <w:rsid w:val="00803772"/>
    <w:rsid w:val="00806232"/>
    <w:rsid w:val="00811682"/>
    <w:rsid w:val="00816084"/>
    <w:rsid w:val="00817E9A"/>
    <w:rsid w:val="00821630"/>
    <w:rsid w:val="00821FB9"/>
    <w:rsid w:val="0082366D"/>
    <w:rsid w:val="0082509E"/>
    <w:rsid w:val="008250F9"/>
    <w:rsid w:val="00830756"/>
    <w:rsid w:val="00832407"/>
    <w:rsid w:val="00833E59"/>
    <w:rsid w:val="00834AE4"/>
    <w:rsid w:val="008417D1"/>
    <w:rsid w:val="0084191E"/>
    <w:rsid w:val="00841E73"/>
    <w:rsid w:val="0084243D"/>
    <w:rsid w:val="00843436"/>
    <w:rsid w:val="00844278"/>
    <w:rsid w:val="0084437D"/>
    <w:rsid w:val="00845EE2"/>
    <w:rsid w:val="00846E1F"/>
    <w:rsid w:val="008510FE"/>
    <w:rsid w:val="008528C1"/>
    <w:rsid w:val="008578F1"/>
    <w:rsid w:val="00860A45"/>
    <w:rsid w:val="00860FDD"/>
    <w:rsid w:val="008613D5"/>
    <w:rsid w:val="0086168D"/>
    <w:rsid w:val="00861799"/>
    <w:rsid w:val="0086266C"/>
    <w:rsid w:val="00862733"/>
    <w:rsid w:val="00873872"/>
    <w:rsid w:val="008856E5"/>
    <w:rsid w:val="00890473"/>
    <w:rsid w:val="00890FA9"/>
    <w:rsid w:val="00891489"/>
    <w:rsid w:val="0089180E"/>
    <w:rsid w:val="00894E47"/>
    <w:rsid w:val="008951E3"/>
    <w:rsid w:val="0089563A"/>
    <w:rsid w:val="008A0055"/>
    <w:rsid w:val="008A0321"/>
    <w:rsid w:val="008A0473"/>
    <w:rsid w:val="008A06E0"/>
    <w:rsid w:val="008A5F20"/>
    <w:rsid w:val="008B1DA0"/>
    <w:rsid w:val="008B218E"/>
    <w:rsid w:val="008B325B"/>
    <w:rsid w:val="008B3A02"/>
    <w:rsid w:val="008B40FC"/>
    <w:rsid w:val="008B65D7"/>
    <w:rsid w:val="008C5161"/>
    <w:rsid w:val="008C7752"/>
    <w:rsid w:val="008D511D"/>
    <w:rsid w:val="008D58CE"/>
    <w:rsid w:val="008D5F3F"/>
    <w:rsid w:val="008D7F7C"/>
    <w:rsid w:val="008E0518"/>
    <w:rsid w:val="008E2064"/>
    <w:rsid w:val="008E21F1"/>
    <w:rsid w:val="008E2E0A"/>
    <w:rsid w:val="008E2EA9"/>
    <w:rsid w:val="008E4B41"/>
    <w:rsid w:val="008E4BB4"/>
    <w:rsid w:val="008E6B2B"/>
    <w:rsid w:val="009018FB"/>
    <w:rsid w:val="0090286C"/>
    <w:rsid w:val="00903534"/>
    <w:rsid w:val="00905A9D"/>
    <w:rsid w:val="00912B21"/>
    <w:rsid w:val="00914376"/>
    <w:rsid w:val="009159E6"/>
    <w:rsid w:val="00915F66"/>
    <w:rsid w:val="009203D0"/>
    <w:rsid w:val="00921541"/>
    <w:rsid w:val="00924BB1"/>
    <w:rsid w:val="00924ED3"/>
    <w:rsid w:val="0092673C"/>
    <w:rsid w:val="009326C3"/>
    <w:rsid w:val="009336BB"/>
    <w:rsid w:val="0093457B"/>
    <w:rsid w:val="00934CBC"/>
    <w:rsid w:val="009373A5"/>
    <w:rsid w:val="00944006"/>
    <w:rsid w:val="009445A3"/>
    <w:rsid w:val="009476F4"/>
    <w:rsid w:val="00947DDA"/>
    <w:rsid w:val="00951789"/>
    <w:rsid w:val="00952165"/>
    <w:rsid w:val="00953170"/>
    <w:rsid w:val="0095346A"/>
    <w:rsid w:val="00954157"/>
    <w:rsid w:val="009553F3"/>
    <w:rsid w:val="00956E2E"/>
    <w:rsid w:val="00957D7F"/>
    <w:rsid w:val="00960094"/>
    <w:rsid w:val="00963417"/>
    <w:rsid w:val="00965DEC"/>
    <w:rsid w:val="00965F7F"/>
    <w:rsid w:val="00973125"/>
    <w:rsid w:val="00983284"/>
    <w:rsid w:val="00983841"/>
    <w:rsid w:val="00984AFA"/>
    <w:rsid w:val="00992130"/>
    <w:rsid w:val="00995102"/>
    <w:rsid w:val="0099684B"/>
    <w:rsid w:val="009A2861"/>
    <w:rsid w:val="009A3B07"/>
    <w:rsid w:val="009A4414"/>
    <w:rsid w:val="009A58E1"/>
    <w:rsid w:val="009A741A"/>
    <w:rsid w:val="009B2D5F"/>
    <w:rsid w:val="009B2F1E"/>
    <w:rsid w:val="009B48DD"/>
    <w:rsid w:val="009B647E"/>
    <w:rsid w:val="009B72F5"/>
    <w:rsid w:val="009B799C"/>
    <w:rsid w:val="009C2830"/>
    <w:rsid w:val="009C6152"/>
    <w:rsid w:val="009C7E1C"/>
    <w:rsid w:val="009C7F8A"/>
    <w:rsid w:val="009D2A10"/>
    <w:rsid w:val="009D4BA7"/>
    <w:rsid w:val="009D4C2B"/>
    <w:rsid w:val="009D531E"/>
    <w:rsid w:val="009D7741"/>
    <w:rsid w:val="009E15CA"/>
    <w:rsid w:val="009E2DE7"/>
    <w:rsid w:val="009E59CC"/>
    <w:rsid w:val="009E75B3"/>
    <w:rsid w:val="009E7CAE"/>
    <w:rsid w:val="009F1078"/>
    <w:rsid w:val="009F1F7E"/>
    <w:rsid w:val="009F349D"/>
    <w:rsid w:val="009F3DEA"/>
    <w:rsid w:val="00A01A43"/>
    <w:rsid w:val="00A038AA"/>
    <w:rsid w:val="00A03A3A"/>
    <w:rsid w:val="00A03A66"/>
    <w:rsid w:val="00A04855"/>
    <w:rsid w:val="00A04CB7"/>
    <w:rsid w:val="00A04EDB"/>
    <w:rsid w:val="00A061EF"/>
    <w:rsid w:val="00A06D4B"/>
    <w:rsid w:val="00A0748B"/>
    <w:rsid w:val="00A14FA5"/>
    <w:rsid w:val="00A15DF4"/>
    <w:rsid w:val="00A15F26"/>
    <w:rsid w:val="00A17A30"/>
    <w:rsid w:val="00A17DAF"/>
    <w:rsid w:val="00A20C88"/>
    <w:rsid w:val="00A21ED6"/>
    <w:rsid w:val="00A22F20"/>
    <w:rsid w:val="00A264E9"/>
    <w:rsid w:val="00A2734D"/>
    <w:rsid w:val="00A27522"/>
    <w:rsid w:val="00A2768C"/>
    <w:rsid w:val="00A27F51"/>
    <w:rsid w:val="00A343D0"/>
    <w:rsid w:val="00A35745"/>
    <w:rsid w:val="00A374B5"/>
    <w:rsid w:val="00A37A7F"/>
    <w:rsid w:val="00A40066"/>
    <w:rsid w:val="00A40120"/>
    <w:rsid w:val="00A40E30"/>
    <w:rsid w:val="00A411F2"/>
    <w:rsid w:val="00A43C59"/>
    <w:rsid w:val="00A4580E"/>
    <w:rsid w:val="00A46C42"/>
    <w:rsid w:val="00A549C3"/>
    <w:rsid w:val="00A56159"/>
    <w:rsid w:val="00A57757"/>
    <w:rsid w:val="00A6004B"/>
    <w:rsid w:val="00A60C60"/>
    <w:rsid w:val="00A60C8C"/>
    <w:rsid w:val="00A65C8D"/>
    <w:rsid w:val="00A71757"/>
    <w:rsid w:val="00A71FA7"/>
    <w:rsid w:val="00A72BB5"/>
    <w:rsid w:val="00A72D73"/>
    <w:rsid w:val="00A75A81"/>
    <w:rsid w:val="00A77D42"/>
    <w:rsid w:val="00A8045C"/>
    <w:rsid w:val="00A8100A"/>
    <w:rsid w:val="00A82344"/>
    <w:rsid w:val="00A8324A"/>
    <w:rsid w:val="00A84E94"/>
    <w:rsid w:val="00A9305C"/>
    <w:rsid w:val="00A949DA"/>
    <w:rsid w:val="00A96A13"/>
    <w:rsid w:val="00AA077C"/>
    <w:rsid w:val="00AA240D"/>
    <w:rsid w:val="00AA6E0E"/>
    <w:rsid w:val="00AB2CCE"/>
    <w:rsid w:val="00AB3B07"/>
    <w:rsid w:val="00AB5EBD"/>
    <w:rsid w:val="00AB7F4D"/>
    <w:rsid w:val="00AC1338"/>
    <w:rsid w:val="00AC198E"/>
    <w:rsid w:val="00AC4FA3"/>
    <w:rsid w:val="00AD1702"/>
    <w:rsid w:val="00AD34E4"/>
    <w:rsid w:val="00AE255E"/>
    <w:rsid w:val="00AE51EE"/>
    <w:rsid w:val="00AE59B6"/>
    <w:rsid w:val="00AF1437"/>
    <w:rsid w:val="00AF2F82"/>
    <w:rsid w:val="00AF3699"/>
    <w:rsid w:val="00AF43D0"/>
    <w:rsid w:val="00AF5F47"/>
    <w:rsid w:val="00B025C3"/>
    <w:rsid w:val="00B04887"/>
    <w:rsid w:val="00B06679"/>
    <w:rsid w:val="00B07209"/>
    <w:rsid w:val="00B11BC7"/>
    <w:rsid w:val="00B123A1"/>
    <w:rsid w:val="00B12533"/>
    <w:rsid w:val="00B13126"/>
    <w:rsid w:val="00B15394"/>
    <w:rsid w:val="00B20A30"/>
    <w:rsid w:val="00B313A8"/>
    <w:rsid w:val="00B3276C"/>
    <w:rsid w:val="00B333B6"/>
    <w:rsid w:val="00B34224"/>
    <w:rsid w:val="00B35A10"/>
    <w:rsid w:val="00B3676F"/>
    <w:rsid w:val="00B37FB9"/>
    <w:rsid w:val="00B43B84"/>
    <w:rsid w:val="00B43CC1"/>
    <w:rsid w:val="00B461A7"/>
    <w:rsid w:val="00B4631C"/>
    <w:rsid w:val="00B54482"/>
    <w:rsid w:val="00B55701"/>
    <w:rsid w:val="00B55974"/>
    <w:rsid w:val="00B564B0"/>
    <w:rsid w:val="00B56DC5"/>
    <w:rsid w:val="00B574C9"/>
    <w:rsid w:val="00B61704"/>
    <w:rsid w:val="00B636D4"/>
    <w:rsid w:val="00B636E0"/>
    <w:rsid w:val="00B64446"/>
    <w:rsid w:val="00B65203"/>
    <w:rsid w:val="00B679AA"/>
    <w:rsid w:val="00B70CED"/>
    <w:rsid w:val="00B71434"/>
    <w:rsid w:val="00B72102"/>
    <w:rsid w:val="00B7223F"/>
    <w:rsid w:val="00B73698"/>
    <w:rsid w:val="00B7652E"/>
    <w:rsid w:val="00B77954"/>
    <w:rsid w:val="00B81322"/>
    <w:rsid w:val="00B81B3C"/>
    <w:rsid w:val="00B82DA9"/>
    <w:rsid w:val="00B8636F"/>
    <w:rsid w:val="00B868BE"/>
    <w:rsid w:val="00B877B8"/>
    <w:rsid w:val="00B9784D"/>
    <w:rsid w:val="00B97B8A"/>
    <w:rsid w:val="00BA0027"/>
    <w:rsid w:val="00BA1F27"/>
    <w:rsid w:val="00BA2A65"/>
    <w:rsid w:val="00BA3D84"/>
    <w:rsid w:val="00BA4005"/>
    <w:rsid w:val="00BA46A6"/>
    <w:rsid w:val="00BA4B72"/>
    <w:rsid w:val="00BA4B92"/>
    <w:rsid w:val="00BA5014"/>
    <w:rsid w:val="00BA61E3"/>
    <w:rsid w:val="00BA6E3C"/>
    <w:rsid w:val="00BB18BB"/>
    <w:rsid w:val="00BB1FED"/>
    <w:rsid w:val="00BB2CFB"/>
    <w:rsid w:val="00BB4DBC"/>
    <w:rsid w:val="00BB5865"/>
    <w:rsid w:val="00BC05A2"/>
    <w:rsid w:val="00BC79FF"/>
    <w:rsid w:val="00BC7E40"/>
    <w:rsid w:val="00BD18F5"/>
    <w:rsid w:val="00BE137D"/>
    <w:rsid w:val="00BE45FA"/>
    <w:rsid w:val="00BE797F"/>
    <w:rsid w:val="00BF01E1"/>
    <w:rsid w:val="00BF1305"/>
    <w:rsid w:val="00BF47E2"/>
    <w:rsid w:val="00BF4AD1"/>
    <w:rsid w:val="00BF4E9C"/>
    <w:rsid w:val="00BF58B6"/>
    <w:rsid w:val="00C012FB"/>
    <w:rsid w:val="00C02B79"/>
    <w:rsid w:val="00C04F80"/>
    <w:rsid w:val="00C05B2C"/>
    <w:rsid w:val="00C06716"/>
    <w:rsid w:val="00C077F6"/>
    <w:rsid w:val="00C07831"/>
    <w:rsid w:val="00C106B5"/>
    <w:rsid w:val="00C164C9"/>
    <w:rsid w:val="00C17AEB"/>
    <w:rsid w:val="00C21078"/>
    <w:rsid w:val="00C210B0"/>
    <w:rsid w:val="00C22EC8"/>
    <w:rsid w:val="00C2376C"/>
    <w:rsid w:val="00C25F15"/>
    <w:rsid w:val="00C32909"/>
    <w:rsid w:val="00C32FFB"/>
    <w:rsid w:val="00C3498C"/>
    <w:rsid w:val="00C36376"/>
    <w:rsid w:val="00C36387"/>
    <w:rsid w:val="00C3775E"/>
    <w:rsid w:val="00C414D9"/>
    <w:rsid w:val="00C501EB"/>
    <w:rsid w:val="00C53907"/>
    <w:rsid w:val="00C578D1"/>
    <w:rsid w:val="00C60198"/>
    <w:rsid w:val="00C61E49"/>
    <w:rsid w:val="00C62189"/>
    <w:rsid w:val="00C715FC"/>
    <w:rsid w:val="00C7369F"/>
    <w:rsid w:val="00C73F0E"/>
    <w:rsid w:val="00C7408D"/>
    <w:rsid w:val="00C74654"/>
    <w:rsid w:val="00C75104"/>
    <w:rsid w:val="00C75BEF"/>
    <w:rsid w:val="00C76FC2"/>
    <w:rsid w:val="00C778FF"/>
    <w:rsid w:val="00C826E3"/>
    <w:rsid w:val="00C829F2"/>
    <w:rsid w:val="00C85742"/>
    <w:rsid w:val="00C86512"/>
    <w:rsid w:val="00C91AC1"/>
    <w:rsid w:val="00C93879"/>
    <w:rsid w:val="00CA03CE"/>
    <w:rsid w:val="00CA1CA4"/>
    <w:rsid w:val="00CA22E9"/>
    <w:rsid w:val="00CA320C"/>
    <w:rsid w:val="00CA32D9"/>
    <w:rsid w:val="00CA330D"/>
    <w:rsid w:val="00CA3FEE"/>
    <w:rsid w:val="00CA46A5"/>
    <w:rsid w:val="00CA4B75"/>
    <w:rsid w:val="00CA588B"/>
    <w:rsid w:val="00CA649B"/>
    <w:rsid w:val="00CA7439"/>
    <w:rsid w:val="00CB0DDD"/>
    <w:rsid w:val="00CB207C"/>
    <w:rsid w:val="00CB5A7D"/>
    <w:rsid w:val="00CB701B"/>
    <w:rsid w:val="00CB7085"/>
    <w:rsid w:val="00CB7D77"/>
    <w:rsid w:val="00CC130E"/>
    <w:rsid w:val="00CC165B"/>
    <w:rsid w:val="00CC2AB5"/>
    <w:rsid w:val="00CC2F74"/>
    <w:rsid w:val="00CC7C17"/>
    <w:rsid w:val="00CD0497"/>
    <w:rsid w:val="00CD1D22"/>
    <w:rsid w:val="00CD51E2"/>
    <w:rsid w:val="00CD5DE7"/>
    <w:rsid w:val="00CD6FCE"/>
    <w:rsid w:val="00CD76D8"/>
    <w:rsid w:val="00CE1E4B"/>
    <w:rsid w:val="00CE2ADB"/>
    <w:rsid w:val="00CE4E34"/>
    <w:rsid w:val="00CE64FA"/>
    <w:rsid w:val="00CE6529"/>
    <w:rsid w:val="00CE7975"/>
    <w:rsid w:val="00CF21CE"/>
    <w:rsid w:val="00CF3655"/>
    <w:rsid w:val="00CF4305"/>
    <w:rsid w:val="00CF6025"/>
    <w:rsid w:val="00D01146"/>
    <w:rsid w:val="00D01ACB"/>
    <w:rsid w:val="00D10494"/>
    <w:rsid w:val="00D107DA"/>
    <w:rsid w:val="00D1097E"/>
    <w:rsid w:val="00D10C1C"/>
    <w:rsid w:val="00D11A73"/>
    <w:rsid w:val="00D11F9C"/>
    <w:rsid w:val="00D1222A"/>
    <w:rsid w:val="00D129D1"/>
    <w:rsid w:val="00D157A1"/>
    <w:rsid w:val="00D201E8"/>
    <w:rsid w:val="00D21184"/>
    <w:rsid w:val="00D26A78"/>
    <w:rsid w:val="00D30D87"/>
    <w:rsid w:val="00D311FD"/>
    <w:rsid w:val="00D329A6"/>
    <w:rsid w:val="00D32F29"/>
    <w:rsid w:val="00D336CF"/>
    <w:rsid w:val="00D3387A"/>
    <w:rsid w:val="00D3442A"/>
    <w:rsid w:val="00D35E66"/>
    <w:rsid w:val="00D42271"/>
    <w:rsid w:val="00D43683"/>
    <w:rsid w:val="00D5046B"/>
    <w:rsid w:val="00D51415"/>
    <w:rsid w:val="00D524FF"/>
    <w:rsid w:val="00D52908"/>
    <w:rsid w:val="00D54020"/>
    <w:rsid w:val="00D5563E"/>
    <w:rsid w:val="00D5689D"/>
    <w:rsid w:val="00D57923"/>
    <w:rsid w:val="00D57BFB"/>
    <w:rsid w:val="00D61613"/>
    <w:rsid w:val="00D63095"/>
    <w:rsid w:val="00D6512C"/>
    <w:rsid w:val="00D6793D"/>
    <w:rsid w:val="00D7358C"/>
    <w:rsid w:val="00D756FD"/>
    <w:rsid w:val="00D75F43"/>
    <w:rsid w:val="00D75FB0"/>
    <w:rsid w:val="00D805E1"/>
    <w:rsid w:val="00D8586D"/>
    <w:rsid w:val="00D8663B"/>
    <w:rsid w:val="00D90A0C"/>
    <w:rsid w:val="00D937F0"/>
    <w:rsid w:val="00D94082"/>
    <w:rsid w:val="00D95AF9"/>
    <w:rsid w:val="00D96EBF"/>
    <w:rsid w:val="00D97749"/>
    <w:rsid w:val="00DA0091"/>
    <w:rsid w:val="00DA0A99"/>
    <w:rsid w:val="00DA18A5"/>
    <w:rsid w:val="00DA24EF"/>
    <w:rsid w:val="00DA26D2"/>
    <w:rsid w:val="00DA3070"/>
    <w:rsid w:val="00DA3886"/>
    <w:rsid w:val="00DA6809"/>
    <w:rsid w:val="00DA6982"/>
    <w:rsid w:val="00DA740C"/>
    <w:rsid w:val="00DB074D"/>
    <w:rsid w:val="00DB2179"/>
    <w:rsid w:val="00DB3600"/>
    <w:rsid w:val="00DB550F"/>
    <w:rsid w:val="00DB5758"/>
    <w:rsid w:val="00DB592D"/>
    <w:rsid w:val="00DC0315"/>
    <w:rsid w:val="00DC2A8B"/>
    <w:rsid w:val="00DC347C"/>
    <w:rsid w:val="00DC57A5"/>
    <w:rsid w:val="00DC7353"/>
    <w:rsid w:val="00DD0113"/>
    <w:rsid w:val="00DD2736"/>
    <w:rsid w:val="00DD3701"/>
    <w:rsid w:val="00DD4B79"/>
    <w:rsid w:val="00DD5AE2"/>
    <w:rsid w:val="00DD7C4D"/>
    <w:rsid w:val="00DE2C13"/>
    <w:rsid w:val="00DE3C58"/>
    <w:rsid w:val="00DE5F8D"/>
    <w:rsid w:val="00DE7162"/>
    <w:rsid w:val="00DF1D5A"/>
    <w:rsid w:val="00DF202B"/>
    <w:rsid w:val="00DF3061"/>
    <w:rsid w:val="00DF4231"/>
    <w:rsid w:val="00DF5218"/>
    <w:rsid w:val="00DF737D"/>
    <w:rsid w:val="00E002D0"/>
    <w:rsid w:val="00E002E8"/>
    <w:rsid w:val="00E010FE"/>
    <w:rsid w:val="00E04496"/>
    <w:rsid w:val="00E047CB"/>
    <w:rsid w:val="00E04F60"/>
    <w:rsid w:val="00E0587A"/>
    <w:rsid w:val="00E0597F"/>
    <w:rsid w:val="00E06AE2"/>
    <w:rsid w:val="00E129D1"/>
    <w:rsid w:val="00E13A21"/>
    <w:rsid w:val="00E155B8"/>
    <w:rsid w:val="00E16F7C"/>
    <w:rsid w:val="00E201F9"/>
    <w:rsid w:val="00E209AF"/>
    <w:rsid w:val="00E209CD"/>
    <w:rsid w:val="00E2179E"/>
    <w:rsid w:val="00E22008"/>
    <w:rsid w:val="00E2457B"/>
    <w:rsid w:val="00E251EA"/>
    <w:rsid w:val="00E25201"/>
    <w:rsid w:val="00E25C76"/>
    <w:rsid w:val="00E26759"/>
    <w:rsid w:val="00E26BB3"/>
    <w:rsid w:val="00E300E9"/>
    <w:rsid w:val="00E31A9D"/>
    <w:rsid w:val="00E322AF"/>
    <w:rsid w:val="00E32CA3"/>
    <w:rsid w:val="00E350BB"/>
    <w:rsid w:val="00E357D9"/>
    <w:rsid w:val="00E36F9A"/>
    <w:rsid w:val="00E4141A"/>
    <w:rsid w:val="00E4253B"/>
    <w:rsid w:val="00E42923"/>
    <w:rsid w:val="00E44A0D"/>
    <w:rsid w:val="00E45095"/>
    <w:rsid w:val="00E464CB"/>
    <w:rsid w:val="00E47EEE"/>
    <w:rsid w:val="00E5261A"/>
    <w:rsid w:val="00E52B71"/>
    <w:rsid w:val="00E5312F"/>
    <w:rsid w:val="00E57DEE"/>
    <w:rsid w:val="00E61F23"/>
    <w:rsid w:val="00E627B4"/>
    <w:rsid w:val="00E62E34"/>
    <w:rsid w:val="00E63151"/>
    <w:rsid w:val="00E646DD"/>
    <w:rsid w:val="00E656A0"/>
    <w:rsid w:val="00E659F4"/>
    <w:rsid w:val="00E704D9"/>
    <w:rsid w:val="00E70BD7"/>
    <w:rsid w:val="00E712A8"/>
    <w:rsid w:val="00E718CD"/>
    <w:rsid w:val="00E72298"/>
    <w:rsid w:val="00E73378"/>
    <w:rsid w:val="00E75468"/>
    <w:rsid w:val="00E75C65"/>
    <w:rsid w:val="00E7730C"/>
    <w:rsid w:val="00E875C8"/>
    <w:rsid w:val="00E90926"/>
    <w:rsid w:val="00E91182"/>
    <w:rsid w:val="00E91864"/>
    <w:rsid w:val="00E92957"/>
    <w:rsid w:val="00E94C39"/>
    <w:rsid w:val="00E94CB0"/>
    <w:rsid w:val="00EA2789"/>
    <w:rsid w:val="00EA2C55"/>
    <w:rsid w:val="00EA36AB"/>
    <w:rsid w:val="00EA3B0A"/>
    <w:rsid w:val="00EA3E07"/>
    <w:rsid w:val="00EA452B"/>
    <w:rsid w:val="00EA6130"/>
    <w:rsid w:val="00EB33DD"/>
    <w:rsid w:val="00EB3C6A"/>
    <w:rsid w:val="00EB3D41"/>
    <w:rsid w:val="00EB41B7"/>
    <w:rsid w:val="00EB471E"/>
    <w:rsid w:val="00EB4A6E"/>
    <w:rsid w:val="00EB51DA"/>
    <w:rsid w:val="00EB5BD7"/>
    <w:rsid w:val="00EB68CA"/>
    <w:rsid w:val="00EB7829"/>
    <w:rsid w:val="00EB7C58"/>
    <w:rsid w:val="00EC25E2"/>
    <w:rsid w:val="00EC5030"/>
    <w:rsid w:val="00EC524E"/>
    <w:rsid w:val="00EC5D98"/>
    <w:rsid w:val="00EC7FCF"/>
    <w:rsid w:val="00ED00EA"/>
    <w:rsid w:val="00ED0CC8"/>
    <w:rsid w:val="00ED1DCD"/>
    <w:rsid w:val="00ED23D8"/>
    <w:rsid w:val="00ED5535"/>
    <w:rsid w:val="00ED59DA"/>
    <w:rsid w:val="00ED5BE6"/>
    <w:rsid w:val="00ED6843"/>
    <w:rsid w:val="00ED7B15"/>
    <w:rsid w:val="00EE2686"/>
    <w:rsid w:val="00EE2A8B"/>
    <w:rsid w:val="00EE3B57"/>
    <w:rsid w:val="00EE3E1F"/>
    <w:rsid w:val="00EE4919"/>
    <w:rsid w:val="00EE6B1A"/>
    <w:rsid w:val="00EE75B3"/>
    <w:rsid w:val="00EF15FC"/>
    <w:rsid w:val="00EF2551"/>
    <w:rsid w:val="00EF2BED"/>
    <w:rsid w:val="00EF3945"/>
    <w:rsid w:val="00EF50A9"/>
    <w:rsid w:val="00EF62D6"/>
    <w:rsid w:val="00EF7904"/>
    <w:rsid w:val="00F03699"/>
    <w:rsid w:val="00F03B0B"/>
    <w:rsid w:val="00F105A9"/>
    <w:rsid w:val="00F11218"/>
    <w:rsid w:val="00F11BD1"/>
    <w:rsid w:val="00F12938"/>
    <w:rsid w:val="00F12F7A"/>
    <w:rsid w:val="00F132FB"/>
    <w:rsid w:val="00F14A7F"/>
    <w:rsid w:val="00F14E8B"/>
    <w:rsid w:val="00F151A9"/>
    <w:rsid w:val="00F17B0B"/>
    <w:rsid w:val="00F204C1"/>
    <w:rsid w:val="00F223A5"/>
    <w:rsid w:val="00F225F9"/>
    <w:rsid w:val="00F25DB3"/>
    <w:rsid w:val="00F26C87"/>
    <w:rsid w:val="00F2777C"/>
    <w:rsid w:val="00F302D0"/>
    <w:rsid w:val="00F32869"/>
    <w:rsid w:val="00F32BE4"/>
    <w:rsid w:val="00F37A63"/>
    <w:rsid w:val="00F42248"/>
    <w:rsid w:val="00F46113"/>
    <w:rsid w:val="00F465E0"/>
    <w:rsid w:val="00F46A1D"/>
    <w:rsid w:val="00F46AD4"/>
    <w:rsid w:val="00F4747A"/>
    <w:rsid w:val="00F518AE"/>
    <w:rsid w:val="00F53894"/>
    <w:rsid w:val="00F61398"/>
    <w:rsid w:val="00F61CF3"/>
    <w:rsid w:val="00F630F4"/>
    <w:rsid w:val="00F647D5"/>
    <w:rsid w:val="00F64971"/>
    <w:rsid w:val="00F66008"/>
    <w:rsid w:val="00F66750"/>
    <w:rsid w:val="00F66A1B"/>
    <w:rsid w:val="00F676BB"/>
    <w:rsid w:val="00F71434"/>
    <w:rsid w:val="00F71575"/>
    <w:rsid w:val="00F7225B"/>
    <w:rsid w:val="00F72B57"/>
    <w:rsid w:val="00F75BE9"/>
    <w:rsid w:val="00F77612"/>
    <w:rsid w:val="00F826C3"/>
    <w:rsid w:val="00F85F4A"/>
    <w:rsid w:val="00F8699C"/>
    <w:rsid w:val="00F86B4C"/>
    <w:rsid w:val="00F90208"/>
    <w:rsid w:val="00F91C08"/>
    <w:rsid w:val="00F92E29"/>
    <w:rsid w:val="00F9688B"/>
    <w:rsid w:val="00F97597"/>
    <w:rsid w:val="00FA33AE"/>
    <w:rsid w:val="00FA4108"/>
    <w:rsid w:val="00FA4A48"/>
    <w:rsid w:val="00FA6593"/>
    <w:rsid w:val="00FB146F"/>
    <w:rsid w:val="00FB1951"/>
    <w:rsid w:val="00FB1B39"/>
    <w:rsid w:val="00FB2DD6"/>
    <w:rsid w:val="00FB60AE"/>
    <w:rsid w:val="00FB6EFF"/>
    <w:rsid w:val="00FC0660"/>
    <w:rsid w:val="00FC0AFB"/>
    <w:rsid w:val="00FC19D7"/>
    <w:rsid w:val="00FC1FD2"/>
    <w:rsid w:val="00FC2880"/>
    <w:rsid w:val="00FC2C48"/>
    <w:rsid w:val="00FC3A33"/>
    <w:rsid w:val="00FC3DE4"/>
    <w:rsid w:val="00FC3FD6"/>
    <w:rsid w:val="00FC45D1"/>
    <w:rsid w:val="00FC52EC"/>
    <w:rsid w:val="00FC7020"/>
    <w:rsid w:val="00FC71FF"/>
    <w:rsid w:val="00FC7421"/>
    <w:rsid w:val="00FD0190"/>
    <w:rsid w:val="00FD2594"/>
    <w:rsid w:val="00FD27E1"/>
    <w:rsid w:val="00FD370C"/>
    <w:rsid w:val="00FD4694"/>
    <w:rsid w:val="00FD4B07"/>
    <w:rsid w:val="00FD685C"/>
    <w:rsid w:val="00FD7513"/>
    <w:rsid w:val="00FE125B"/>
    <w:rsid w:val="00FE2081"/>
    <w:rsid w:val="00FE356C"/>
    <w:rsid w:val="00FE4412"/>
    <w:rsid w:val="00FE4C75"/>
    <w:rsid w:val="00FE4CE4"/>
    <w:rsid w:val="00FE65DE"/>
    <w:rsid w:val="5AC774D2"/>
    <w:rsid w:val="76C72A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8"/>
    <w:qFormat/>
    <w:uiPriority w:val="0"/>
    <w:pPr>
      <w:keepNext/>
      <w:jc w:val="center"/>
      <w:outlineLvl w:val="0"/>
    </w:pPr>
    <w:rPr>
      <w:b/>
      <w:sz w:val="28"/>
      <w:szCs w:val="20"/>
      <w:lang w:val="zh-CN" w:eastAsia="zh-CN"/>
    </w:rPr>
  </w:style>
  <w:style w:type="paragraph" w:styleId="3">
    <w:name w:val="heading 2"/>
    <w:basedOn w:val="1"/>
    <w:next w:val="1"/>
    <w:link w:val="42"/>
    <w:qFormat/>
    <w:uiPriority w:val="0"/>
    <w:pPr>
      <w:keepNext/>
      <w:outlineLvl w:val="1"/>
    </w:pPr>
    <w:rPr>
      <w:sz w:val="28"/>
      <w:szCs w:val="20"/>
      <w:lang w:val="zh-CN" w:eastAsia="zh-CN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7"/>
    <w:basedOn w:val="1"/>
    <w:next w:val="1"/>
    <w:link w:val="43"/>
    <w:qFormat/>
    <w:uiPriority w:val="0"/>
    <w:pPr>
      <w:spacing w:before="240" w:after="60"/>
      <w:outlineLvl w:val="6"/>
    </w:pPr>
    <w:rPr>
      <w:lang w:val="zh-CN" w:eastAsia="zh-CN"/>
    </w:rPr>
  </w:style>
  <w:style w:type="paragraph" w:styleId="7">
    <w:name w:val="heading 8"/>
    <w:basedOn w:val="1"/>
    <w:next w:val="1"/>
    <w:link w:val="44"/>
    <w:qFormat/>
    <w:uiPriority w:val="0"/>
    <w:pPr>
      <w:keepNext/>
      <w:outlineLvl w:val="7"/>
    </w:pPr>
    <w:rPr>
      <w:sz w:val="26"/>
      <w:szCs w:val="20"/>
      <w:lang w:val="zh-CN" w:eastAsia="zh-CN"/>
    </w:rPr>
  </w:style>
  <w:style w:type="paragraph" w:styleId="8">
    <w:name w:val="heading 9"/>
    <w:basedOn w:val="1"/>
    <w:next w:val="1"/>
    <w:link w:val="45"/>
    <w:qFormat/>
    <w:uiPriority w:val="0"/>
    <w:pPr>
      <w:keepNext/>
      <w:jc w:val="right"/>
      <w:outlineLvl w:val="8"/>
    </w:pPr>
    <w:rPr>
      <w:sz w:val="26"/>
      <w:lang w:val="zh-CN" w:eastAsia="zh-CN"/>
    </w:rPr>
  </w:style>
  <w:style w:type="character" w:default="1" w:styleId="20">
    <w:name w:val="Default Paragraph Font"/>
    <w:semiHidden/>
    <w:unhideWhenUsed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34"/>
    <w:uiPriority w:val="0"/>
    <w:rPr>
      <w:rFonts w:ascii="Tahoma" w:hAnsi="Tahoma"/>
      <w:sz w:val="16"/>
      <w:szCs w:val="16"/>
      <w:lang w:val="zh-CN" w:eastAsia="zh-CN"/>
    </w:rPr>
  </w:style>
  <w:style w:type="paragraph" w:styleId="10">
    <w:name w:val="Body Text Indent 3"/>
    <w:basedOn w:val="1"/>
    <w:link w:val="47"/>
    <w:qFormat/>
    <w:uiPriority w:val="0"/>
    <w:pPr>
      <w:spacing w:after="120"/>
      <w:ind w:left="283"/>
    </w:pPr>
    <w:rPr>
      <w:sz w:val="16"/>
      <w:szCs w:val="16"/>
      <w:lang w:val="zh-CN" w:eastAsia="zh-CN"/>
    </w:rPr>
  </w:style>
  <w:style w:type="paragraph" w:styleId="11">
    <w:name w:val="caption"/>
    <w:basedOn w:val="1"/>
    <w:next w:val="1"/>
    <w:qFormat/>
    <w:uiPriority w:val="0"/>
    <w:pPr>
      <w:jc w:val="center"/>
    </w:pPr>
    <w:rPr>
      <w:b/>
      <w:sz w:val="28"/>
      <w:szCs w:val="20"/>
    </w:rPr>
  </w:style>
  <w:style w:type="paragraph" w:styleId="12">
    <w:name w:val="annotation text"/>
    <w:basedOn w:val="1"/>
    <w:link w:val="50"/>
    <w:qFormat/>
    <w:uiPriority w:val="0"/>
    <w:rPr>
      <w:sz w:val="20"/>
      <w:szCs w:val="20"/>
    </w:rPr>
  </w:style>
  <w:style w:type="paragraph" w:styleId="13">
    <w:name w:val="Document Map"/>
    <w:basedOn w:val="1"/>
    <w:semiHidden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4">
    <w:name w:val="header"/>
    <w:basedOn w:val="1"/>
    <w:uiPriority w:val="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15">
    <w:name w:val="Body Text"/>
    <w:basedOn w:val="1"/>
    <w:uiPriority w:val="0"/>
    <w:pPr>
      <w:spacing w:after="120"/>
    </w:pPr>
  </w:style>
  <w:style w:type="paragraph" w:styleId="16">
    <w:name w:val="Body Text Indent"/>
    <w:basedOn w:val="1"/>
    <w:uiPriority w:val="0"/>
    <w:pPr>
      <w:spacing w:line="360" w:lineRule="auto"/>
      <w:ind w:firstLine="630"/>
      <w:jc w:val="both"/>
      <w:outlineLvl w:val="2"/>
    </w:pPr>
    <w:rPr>
      <w:szCs w:val="22"/>
    </w:rPr>
  </w:style>
  <w:style w:type="paragraph" w:styleId="17">
    <w:name w:val="Title"/>
    <w:basedOn w:val="1"/>
    <w:qFormat/>
    <w:uiPriority w:val="0"/>
    <w:pPr>
      <w:jc w:val="center"/>
    </w:pPr>
    <w:rPr>
      <w:sz w:val="28"/>
      <w:szCs w:val="20"/>
    </w:rPr>
  </w:style>
  <w:style w:type="paragraph" w:styleId="18">
    <w:name w:val="footer"/>
    <w:basedOn w:val="1"/>
    <w:link w:val="46"/>
    <w:uiPriority w:val="0"/>
    <w:pPr>
      <w:tabs>
        <w:tab w:val="center" w:pos="4677"/>
        <w:tab w:val="right" w:pos="9355"/>
      </w:tabs>
    </w:pPr>
    <w:rPr>
      <w:lang w:val="zh-CN" w:eastAsia="zh-CN"/>
    </w:rPr>
  </w:style>
  <w:style w:type="paragraph" w:styleId="19">
    <w:name w:val="Body Text 3"/>
    <w:basedOn w:val="1"/>
    <w:link w:val="51"/>
    <w:qFormat/>
    <w:uiPriority w:val="0"/>
    <w:pPr>
      <w:spacing w:after="120"/>
    </w:pPr>
    <w:rPr>
      <w:sz w:val="16"/>
      <w:szCs w:val="16"/>
      <w:lang w:val="zh-CN" w:eastAsia="zh-CN"/>
    </w:rPr>
  </w:style>
  <w:style w:type="character" w:styleId="21">
    <w:name w:val="Hyperlink"/>
    <w:qFormat/>
    <w:uiPriority w:val="0"/>
    <w:rPr>
      <w:color w:val="0000FF"/>
      <w:u w:val="single"/>
    </w:rPr>
  </w:style>
  <w:style w:type="character" w:styleId="22">
    <w:name w:val="page number"/>
    <w:basedOn w:val="20"/>
    <w:qFormat/>
    <w:uiPriority w:val="0"/>
  </w:style>
  <w:style w:type="table" w:styleId="24">
    <w:name w:val="Table Grid"/>
    <w:basedOn w:val="2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Heading"/>
    <w:qFormat/>
    <w:uiPriority w:val="0"/>
    <w:pPr>
      <w:autoSpaceDE w:val="0"/>
      <w:autoSpaceDN w:val="0"/>
      <w:adjustRightInd w:val="0"/>
      <w:spacing w:after="200" w:line="276" w:lineRule="auto"/>
    </w:pPr>
    <w:rPr>
      <w:rFonts w:ascii="Arial" w:hAnsi="Arial" w:eastAsia="Times New Roman" w:cs="Arial"/>
      <w:b/>
      <w:bCs/>
      <w:sz w:val="22"/>
      <w:szCs w:val="22"/>
      <w:lang w:val="ru-RU" w:eastAsia="ru-RU" w:bidi="ar-SA"/>
    </w:rPr>
  </w:style>
  <w:style w:type="character" w:customStyle="1" w:styleId="26">
    <w:name w:val="Гипертекстовая ссылка"/>
    <w:basedOn w:val="27"/>
    <w:qFormat/>
    <w:uiPriority w:val="99"/>
    <w:rPr>
      <w:color w:val="008000"/>
    </w:rPr>
  </w:style>
  <w:style w:type="character" w:customStyle="1" w:styleId="27">
    <w:name w:val="Цветовое выделение"/>
    <w:qFormat/>
    <w:uiPriority w:val="99"/>
    <w:rPr>
      <w:b/>
      <w:bCs/>
      <w:color w:val="000080"/>
    </w:rPr>
  </w:style>
  <w:style w:type="paragraph" w:customStyle="1" w:styleId="28">
    <w:name w:val="ConsPlusTitle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 w:eastAsia="Times New Roman" w:cs="Times New Roman"/>
      <w:b/>
      <w:bCs/>
      <w:sz w:val="24"/>
      <w:szCs w:val="24"/>
      <w:lang w:val="ru-RU" w:eastAsia="ru-RU" w:bidi="ar-SA"/>
    </w:rPr>
  </w:style>
  <w:style w:type="paragraph" w:customStyle="1" w:styleId="29">
    <w:name w:val="Нормальный (таблица)"/>
    <w:basedOn w:val="1"/>
    <w:next w:val="1"/>
    <w:qFormat/>
    <w:uiPriority w:val="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30">
    <w:name w:val="Прижатый влево"/>
    <w:basedOn w:val="1"/>
    <w:next w:val="1"/>
    <w:qFormat/>
    <w:uiPriority w:val="99"/>
    <w:pPr>
      <w:autoSpaceDE w:val="0"/>
      <w:autoSpaceDN w:val="0"/>
      <w:adjustRightInd w:val="0"/>
    </w:pPr>
    <w:rPr>
      <w:rFonts w:ascii="Arial" w:hAnsi="Arial"/>
    </w:rPr>
  </w:style>
  <w:style w:type="paragraph" w:customStyle="1" w:styleId="31">
    <w:name w:val="ConsPlusNonforma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32">
    <w:name w:val="ConsPlusCell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eastAsia="Times New Roman" w:cs="Arial"/>
      <w:lang w:val="ru-RU" w:eastAsia="ru-RU" w:bidi="ar-SA"/>
    </w:rPr>
  </w:style>
  <w:style w:type="paragraph" w:customStyle="1" w:styleId="33">
    <w:name w:val="Знак"/>
    <w:basedOn w:val="1"/>
    <w:qFormat/>
    <w:uiPriority w:val="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4">
    <w:name w:val="Текст выноски Знак"/>
    <w:link w:val="9"/>
    <w:qFormat/>
    <w:uiPriority w:val="0"/>
    <w:rPr>
      <w:rFonts w:ascii="Tahoma" w:hAnsi="Tahoma" w:cs="Tahoma"/>
      <w:sz w:val="16"/>
      <w:szCs w:val="16"/>
    </w:rPr>
  </w:style>
  <w:style w:type="paragraph" w:customStyle="1" w:styleId="35">
    <w:name w:val="Таблицы (моноширинный)"/>
    <w:basedOn w:val="1"/>
    <w:next w:val="1"/>
    <w:qFormat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6">
    <w:name w:val="Не вступил в силу"/>
    <w:qFormat/>
    <w:uiPriority w:val="0"/>
    <w:rPr>
      <w:color w:val="008080"/>
    </w:rPr>
  </w:style>
  <w:style w:type="paragraph" w:styleId="37">
    <w:name w:val="List Paragraph"/>
    <w:basedOn w:val="1"/>
    <w:qFormat/>
    <w:uiPriority w:val="34"/>
    <w:pPr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38">
    <w:name w:val="Заголовок 1 Знак"/>
    <w:link w:val="2"/>
    <w:qFormat/>
    <w:uiPriority w:val="0"/>
    <w:rPr>
      <w:b/>
      <w:sz w:val="28"/>
    </w:rPr>
  </w:style>
  <w:style w:type="paragraph" w:customStyle="1" w:styleId="39">
    <w:name w:val="ConsPlusNormal"/>
    <w:qFormat/>
    <w:uiPriority w:val="0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eastAsia="Times New Roman" w:cs="Arial"/>
      <w:lang w:val="ru-RU" w:eastAsia="ru-RU" w:bidi="ar-SA"/>
    </w:rPr>
  </w:style>
  <w:style w:type="character" w:customStyle="1" w:styleId="40">
    <w:name w:val="Font Style40"/>
    <w:qFormat/>
    <w:uiPriority w:val="0"/>
    <w:rPr>
      <w:rFonts w:hint="default" w:ascii="Times New Roman" w:hAnsi="Times New Roman" w:cs="Times New Roman"/>
      <w:sz w:val="22"/>
      <w:szCs w:val="22"/>
    </w:rPr>
  </w:style>
  <w:style w:type="paragraph" w:customStyle="1" w:styleId="41">
    <w:name w:val="Комментарий"/>
    <w:basedOn w:val="1"/>
    <w:next w:val="1"/>
    <w:qFormat/>
    <w:uiPriority w:val="9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42">
    <w:name w:val="Заголовок 2 Знак"/>
    <w:link w:val="3"/>
    <w:qFormat/>
    <w:uiPriority w:val="0"/>
    <w:rPr>
      <w:sz w:val="28"/>
    </w:rPr>
  </w:style>
  <w:style w:type="character" w:customStyle="1" w:styleId="43">
    <w:name w:val="Заголовок 7 Знак"/>
    <w:link w:val="6"/>
    <w:qFormat/>
    <w:uiPriority w:val="0"/>
    <w:rPr>
      <w:sz w:val="24"/>
      <w:szCs w:val="24"/>
    </w:rPr>
  </w:style>
  <w:style w:type="character" w:customStyle="1" w:styleId="44">
    <w:name w:val="Заголовок 8 Знак"/>
    <w:link w:val="7"/>
    <w:qFormat/>
    <w:uiPriority w:val="0"/>
    <w:rPr>
      <w:sz w:val="26"/>
    </w:rPr>
  </w:style>
  <w:style w:type="character" w:customStyle="1" w:styleId="45">
    <w:name w:val="Заголовок 9 Знак"/>
    <w:link w:val="8"/>
    <w:qFormat/>
    <w:uiPriority w:val="0"/>
    <w:rPr>
      <w:sz w:val="26"/>
      <w:szCs w:val="24"/>
    </w:rPr>
  </w:style>
  <w:style w:type="character" w:customStyle="1" w:styleId="46">
    <w:name w:val="Нижний колонтитул Знак"/>
    <w:link w:val="18"/>
    <w:qFormat/>
    <w:uiPriority w:val="0"/>
    <w:rPr>
      <w:sz w:val="24"/>
      <w:szCs w:val="24"/>
    </w:rPr>
  </w:style>
  <w:style w:type="character" w:customStyle="1" w:styleId="47">
    <w:name w:val="Основной текст с отступом 3 Знак"/>
    <w:link w:val="10"/>
    <w:qFormat/>
    <w:uiPriority w:val="0"/>
    <w:rPr>
      <w:sz w:val="16"/>
      <w:szCs w:val="16"/>
    </w:rPr>
  </w:style>
  <w:style w:type="paragraph" w:customStyle="1" w:styleId="48">
    <w:name w:val="Обычный1"/>
    <w:qFormat/>
    <w:uiPriority w:val="0"/>
    <w:pPr>
      <w:widowControl w:val="0"/>
      <w:spacing w:after="200" w:line="300" w:lineRule="auto"/>
      <w:ind w:firstLine="520"/>
      <w:jc w:val="both"/>
    </w:pPr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paragraph" w:customStyle="1" w:styleId="49">
    <w:name w:val="ConsNormal"/>
    <w:qFormat/>
    <w:uiPriority w:val="0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0">
    <w:name w:val="Текст примечания Знак"/>
    <w:basedOn w:val="20"/>
    <w:link w:val="12"/>
    <w:qFormat/>
    <w:uiPriority w:val="0"/>
  </w:style>
  <w:style w:type="character" w:customStyle="1" w:styleId="51">
    <w:name w:val="Основной текст 3 Знак"/>
    <w:link w:val="19"/>
    <w:qFormat/>
    <w:uiPriority w:val="0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4.wmf"/><Relationship Id="rId12" Type="http://schemas.openxmlformats.org/officeDocument/2006/relationships/image" Target="media/image3.wmf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F2A302-6B8D-418F-898D-6C7C30C658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Департамент социальной полттики ЧАО</Company>
  <Pages>6</Pages>
  <Words>1632</Words>
  <Characters>9303</Characters>
  <Lines>77</Lines>
  <Paragraphs>21</Paragraphs>
  <TotalTime>4</TotalTime>
  <ScaleCrop>false</ScaleCrop>
  <LinksUpToDate>false</LinksUpToDate>
  <CharactersWithSpaces>10914</CharactersWithSpaces>
  <Application>WPS Office_11.2.0.9144_F1E327BC-269C-435d-A152-05C5408002CA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2017-03-09T22:24:00Z</dcterms:created>
  <dc:creator>Усачев</dc:creator>
  <cp:lastModifiedBy>org4</cp:lastModifiedBy>
  <cp:lastPrinted>2015-10-26T23:56:00Z</cp:lastPrinted>
  <dcterms:modified xsi:type="dcterms:W3CDTF">2020-02-12T05:34:52Z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1049-11.2.0.9144</vt:lpwstr>
  </property>
</Properties>
</file>