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2" w:name="_GoBack"/>
      <w:bookmarkEnd w:id="2"/>
    </w:p>
    <w:p>
      <w:pPr>
        <w:jc w:val="center"/>
        <w:rPr>
          <w:color w:val="000000"/>
        </w:rPr>
      </w:pPr>
      <w:r>
        <w:drawing>
          <wp:inline distT="0" distB="0" distL="0" distR="9525">
            <wp:extent cx="581025" cy="742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sz w:val="28"/>
          <w:szCs w:val="28"/>
        </w:rPr>
      </w:pPr>
    </w:p>
    <w:tbl>
      <w:tblPr>
        <w:tblStyle w:val="16"/>
        <w:tblW w:w="999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95" w:type="dxa"/>
            <w:shd w:val="clear" w:color="auto" w:fill="auto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ДЕПАРТАМЕНТ  СОЦИАЛЬНОЙ  ПОЛИТИКИ  ЧУКОТСКОГО  АВТОНОМНОГО  ОКРУГА</w:t>
            </w:r>
          </w:p>
        </w:tc>
      </w:tr>
    </w:tbl>
    <w:p>
      <w:pPr>
        <w:pStyle w:val="18"/>
        <w:rPr>
          <w:b w:val="0"/>
          <w:szCs w:val="28"/>
          <w:lang w:val="ru-RU"/>
        </w:rPr>
      </w:pPr>
    </w:p>
    <w:p>
      <w:pPr>
        <w:pStyle w:val="18"/>
        <w:rPr>
          <w:sz w:val="26"/>
          <w:szCs w:val="26"/>
          <w:lang w:val="ru-RU"/>
        </w:rPr>
      </w:pPr>
      <w:r>
        <w:rPr>
          <w:sz w:val="26"/>
          <w:szCs w:val="26"/>
        </w:rPr>
        <w:t>П Р И К А З</w:t>
      </w:r>
    </w:p>
    <w:p>
      <w:pPr>
        <w:rPr>
          <w:lang w:eastAsia="zh-CN"/>
        </w:rPr>
      </w:pPr>
    </w:p>
    <w:p>
      <w:pPr>
        <w:rPr>
          <w:lang w:eastAsia="zh-CN"/>
        </w:rPr>
      </w:pPr>
    </w:p>
    <w:tbl>
      <w:tblPr>
        <w:tblStyle w:val="16"/>
        <w:tblW w:w="9692" w:type="dxa"/>
        <w:tblInd w:w="1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3261"/>
        <w:gridCol w:w="235"/>
        <w:gridCol w:w="608"/>
        <w:gridCol w:w="1126"/>
        <w:gridCol w:w="38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dxa"/>
            <w:shd w:val="clear" w:color="auto" w:fill="auto"/>
            <w:vAlign w:val="center"/>
          </w:tcPr>
          <w:p>
            <w:pPr>
              <w:pStyle w:val="47"/>
              <w:tabs>
                <w:tab w:val="left" w:pos="70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от </w:t>
            </w:r>
          </w:p>
        </w:tc>
        <w:tc>
          <w:tcPr>
            <w:tcW w:w="3261" w:type="dxa"/>
            <w:shd w:val="clear" w:color="auto" w:fill="auto"/>
            <w:vAlign w:val="center"/>
          </w:tcPr>
          <w:p>
            <w:pPr>
              <w:pStyle w:val="47"/>
              <w:tabs>
                <w:tab w:val="left" w:pos="708"/>
              </w:tabs>
              <w:rPr>
                <w:rFonts w:hint="default"/>
                <w:b/>
                <w:bCs/>
                <w:sz w:val="26"/>
                <w:szCs w:val="26"/>
                <w:lang w:val="ru-RU"/>
              </w:rPr>
            </w:pPr>
            <w:r>
              <w:rPr>
                <w:rFonts w:hint="default"/>
                <w:b/>
                <w:bCs/>
                <w:sz w:val="26"/>
                <w:szCs w:val="26"/>
                <w:lang w:val="ru-RU"/>
              </w:rPr>
              <w:t>30.12.2019</w:t>
            </w:r>
          </w:p>
        </w:tc>
        <w:tc>
          <w:tcPr>
            <w:tcW w:w="235" w:type="dxa"/>
            <w:shd w:val="clear" w:color="auto" w:fill="auto"/>
            <w:vAlign w:val="center"/>
          </w:tcPr>
          <w:p>
            <w:pPr>
              <w:pStyle w:val="47"/>
              <w:tabs>
                <w:tab w:val="left" w:pos="708"/>
              </w:tabs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>
            <w:pPr>
              <w:pStyle w:val="47"/>
              <w:tabs>
                <w:tab w:val="left" w:pos="708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1126" w:type="dxa"/>
            <w:shd w:val="clear" w:color="auto" w:fill="auto"/>
            <w:vAlign w:val="center"/>
          </w:tcPr>
          <w:p>
            <w:pPr>
              <w:pStyle w:val="47"/>
              <w:tabs>
                <w:tab w:val="left" w:pos="708"/>
              </w:tabs>
              <w:rPr>
                <w:rFonts w:hint="default"/>
                <w:b/>
                <w:bCs/>
                <w:sz w:val="26"/>
                <w:szCs w:val="26"/>
                <w:lang w:val="ru-RU"/>
              </w:rPr>
            </w:pPr>
            <w:r>
              <w:rPr>
                <w:rFonts w:hint="default"/>
                <w:b/>
                <w:bCs/>
                <w:sz w:val="26"/>
                <w:szCs w:val="26"/>
                <w:lang w:val="ru-RU"/>
              </w:rPr>
              <w:t>1604</w:t>
            </w:r>
          </w:p>
        </w:tc>
        <w:tc>
          <w:tcPr>
            <w:tcW w:w="3858" w:type="dxa"/>
            <w:shd w:val="clear" w:color="auto" w:fill="auto"/>
            <w:vAlign w:val="center"/>
          </w:tcPr>
          <w:p>
            <w:pPr>
              <w:pStyle w:val="47"/>
              <w:tabs>
                <w:tab w:val="left" w:pos="708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г. Анадырь</w:t>
            </w:r>
          </w:p>
        </w:tc>
      </w:tr>
    </w:tbl>
    <w:p>
      <w:pPr>
        <w:jc w:val="both"/>
        <w:outlineLvl w:val="2"/>
        <w:rPr>
          <w:sz w:val="26"/>
          <w:szCs w:val="26"/>
        </w:rPr>
      </w:pPr>
    </w:p>
    <w:p>
      <w:pPr>
        <w:jc w:val="both"/>
        <w:outlineLvl w:val="2"/>
        <w:rPr>
          <w:sz w:val="26"/>
          <w:szCs w:val="26"/>
        </w:rPr>
      </w:pPr>
    </w:p>
    <w:tbl>
      <w:tblPr>
        <w:tblStyle w:val="17"/>
        <w:tblW w:w="97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5"/>
        <w:gridCol w:w="4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jc w:val="both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плана мероприятий («дорожная карта») по снижению рисков нарушения антимонопольного законодательства Департамента социальной политики Чукотского автономного округа 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jc w:val="both"/>
              <w:outlineLvl w:val="2"/>
              <w:rPr>
                <w:sz w:val="26"/>
                <w:szCs w:val="26"/>
              </w:rPr>
            </w:pPr>
          </w:p>
        </w:tc>
      </w:tr>
    </w:tbl>
    <w:p>
      <w:pPr>
        <w:jc w:val="both"/>
        <w:outlineLvl w:val="2"/>
        <w:rPr>
          <w:sz w:val="28"/>
          <w:szCs w:val="28"/>
        </w:rPr>
      </w:pPr>
    </w:p>
    <w:p>
      <w:pPr>
        <w:keepNext/>
        <w:overflowPunct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целях реализации Указа Президента Российской Федерации от 21 декабря 2017 года № 618 «Об основных направлениях государственной политики по развитию конкуренции», в соответствии с распоряжением Правительства Российской Федерации от 18 октября 2018 года № 2258-р и приказом Департамента социальной политики Чукотского автономного округа от 27 февраля 2019 года № 325 «О системе внутреннего обеспечения соответствия требованиям антимонопольного законодательства в Департаменте социальной политики Чукотского автономного округа», </w:t>
      </w:r>
    </w:p>
    <w:p>
      <w:pPr>
        <w:jc w:val="both"/>
        <w:rPr>
          <w:sz w:val="28"/>
          <w:szCs w:val="28"/>
        </w:rPr>
      </w:pPr>
    </w:p>
    <w:p>
      <w:pPr>
        <w:pStyle w:val="10"/>
        <w:spacing w:line="240" w:lineRule="auto"/>
        <w:ind w:firstLine="851"/>
        <w:rPr>
          <w:b/>
          <w:sz w:val="28"/>
          <w:szCs w:val="28"/>
        </w:rPr>
      </w:pPr>
      <w:r>
        <w:rPr>
          <w:b/>
          <w:sz w:val="28"/>
          <w:szCs w:val="28"/>
        </w:rPr>
        <w:t>ПРИКАЗЫВАЮ:</w:t>
      </w:r>
    </w:p>
    <w:p>
      <w:pPr>
        <w:jc w:val="both"/>
        <w:rPr>
          <w:sz w:val="26"/>
          <w:szCs w:val="26"/>
        </w:rPr>
      </w:pPr>
      <w:bookmarkStart w:id="0" w:name="sub_1"/>
      <w:bookmarkEnd w:id="0"/>
    </w:p>
    <w:p>
      <w:pPr>
        <w:keepNext/>
        <w:numPr>
          <w:ilvl w:val="0"/>
          <w:numId w:val="1"/>
        </w:numPr>
        <w:tabs>
          <w:tab w:val="left" w:pos="851"/>
        </w:tabs>
        <w:overflowPunct w:val="0"/>
        <w:ind w:left="0" w:firstLine="71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план мероприятий («дорожную карту») по снижению рисков нарушения антимонопольного законодательства Департамента социальной политики Чукотского автономного округа </w:t>
      </w:r>
      <w:r>
        <w:rPr>
          <w:bCs/>
          <w:sz w:val="26"/>
          <w:szCs w:val="26"/>
        </w:rPr>
        <w:t>согласно приложению к настоящему приказу</w:t>
      </w:r>
      <w:r>
        <w:rPr>
          <w:sz w:val="26"/>
          <w:szCs w:val="26"/>
        </w:rPr>
        <w:t>.</w:t>
      </w:r>
    </w:p>
    <w:p>
      <w:pPr>
        <w:keepNext/>
        <w:numPr>
          <w:ilvl w:val="0"/>
          <w:numId w:val="1"/>
        </w:numPr>
        <w:tabs>
          <w:tab w:val="left" w:pos="851"/>
        </w:tabs>
        <w:overflowPunct w:val="0"/>
        <w:ind w:left="0" w:firstLine="662"/>
        <w:jc w:val="both"/>
        <w:rPr>
          <w:sz w:val="26"/>
          <w:szCs w:val="26"/>
        </w:rPr>
      </w:pPr>
      <w:r>
        <w:rPr>
          <w:sz w:val="26"/>
          <w:szCs w:val="26"/>
        </w:rPr>
        <w:t>Отделу административно-организационной и правовой работы Департамента социальной политики Чукотского автономного округа обеспечить ознакомление начальников структурных подразделений и самостоятельных отделов Департамента с настоящим приказом.</w:t>
      </w:r>
    </w:p>
    <w:p>
      <w:pPr>
        <w:keepNext/>
        <w:numPr>
          <w:ilvl w:val="0"/>
          <w:numId w:val="1"/>
        </w:numPr>
        <w:tabs>
          <w:tab w:val="left" w:pos="851"/>
        </w:tabs>
        <w:overflowPunct w:val="0"/>
        <w:ind w:left="0" w:firstLine="717"/>
        <w:jc w:val="both"/>
        <w:rPr>
          <w:sz w:val="26"/>
          <w:szCs w:val="26"/>
        </w:rPr>
      </w:pPr>
      <w:r>
        <w:rPr>
          <w:sz w:val="26"/>
          <w:szCs w:val="26"/>
        </w:rPr>
        <w:t>Контроль за исполнением настоящего приказа оставляю за собой.</w:t>
      </w:r>
    </w:p>
    <w:p/>
    <w:p/>
    <w:p/>
    <w:p/>
    <w:p/>
    <w:p/>
    <w:p/>
    <w:p/>
    <w:p/>
    <w:p/>
    <w:p>
      <w:pPr>
        <w:sectPr>
          <w:headerReference r:id="rId3" w:type="default"/>
          <w:footerReference r:id="rId4" w:type="default"/>
          <w:pgSz w:w="11906" w:h="16838"/>
          <w:pgMar w:top="766" w:right="709" w:bottom="1134" w:left="1418" w:header="709" w:footer="709" w:gutter="0"/>
          <w:cols w:space="720" w:num="1"/>
          <w:formProt w:val="0"/>
          <w:docGrid w:linePitch="360" w:charSpace="0"/>
        </w:sectPr>
      </w:pPr>
    </w:p>
    <w:tbl>
      <w:tblPr>
        <w:tblStyle w:val="17"/>
        <w:tblW w:w="154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6"/>
        <w:gridCol w:w="5118"/>
        <w:gridCol w:w="5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57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57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57"/>
              <w:keepNext/>
              <w:widowControl/>
              <w:overflowPunct w:val="0"/>
              <w:ind w:left="238" w:right="149" w:hanging="17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УТВЕРЖДЕНО</w:t>
            </w:r>
          </w:p>
          <w:p>
            <w:pPr>
              <w:pStyle w:val="57"/>
              <w:keepNext/>
              <w:widowControl/>
              <w:overflowPunct w:val="0"/>
              <w:ind w:left="238" w:right="149" w:hanging="17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Приказом Департамента социальной политики Чукотского автономного округа</w:t>
            </w:r>
          </w:p>
          <w:p>
            <w:pPr>
              <w:pStyle w:val="57"/>
              <w:keepNext/>
              <w:widowControl/>
              <w:overflowPunct w:val="0"/>
              <w:ind w:left="238" w:right="149" w:hanging="17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от «__» _______ 2019 № ___</w:t>
            </w:r>
          </w:p>
          <w:p>
            <w:pPr>
              <w:pStyle w:val="57"/>
              <w:keepNext/>
              <w:widowControl/>
              <w:overflowPunct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>
      <w:pPr>
        <w:pStyle w:val="57"/>
        <w:keepNext/>
        <w:widowControl/>
        <w:overflowPunct w:val="0"/>
        <w:rPr>
          <w:rFonts w:ascii="Times New Roman" w:hAnsi="Times New Roman" w:cs="Times New Roman"/>
          <w:sz w:val="28"/>
          <w:szCs w:val="28"/>
        </w:rPr>
      </w:pPr>
    </w:p>
    <w:p>
      <w:pPr>
        <w:keepNext/>
        <w:overflowPunct w:val="0"/>
        <w:jc w:val="center"/>
        <w:rPr>
          <w:b/>
          <w:bCs/>
          <w:sz w:val="26"/>
          <w:szCs w:val="26"/>
        </w:rPr>
      </w:pPr>
      <w:bookmarkStart w:id="1" w:name="P32"/>
      <w:bookmarkEnd w:id="1"/>
      <w:r>
        <w:rPr>
          <w:b/>
          <w:bCs/>
          <w:sz w:val="26"/>
          <w:szCs w:val="26"/>
        </w:rPr>
        <w:t>План мероприятий («дорожная карта») по снижению рисков нарушения антимонопольного законодательства</w:t>
      </w:r>
    </w:p>
    <w:p>
      <w:pPr>
        <w:keepNext/>
        <w:overflowPunct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Департамента социальной политики Чукотского автономного округа</w:t>
      </w:r>
    </w:p>
    <w:p>
      <w:pPr>
        <w:jc w:val="center"/>
        <w:rPr>
          <w:sz w:val="28"/>
          <w:szCs w:val="28"/>
        </w:rPr>
      </w:pPr>
    </w:p>
    <w:tbl>
      <w:tblPr>
        <w:tblStyle w:val="17"/>
        <w:tblW w:w="150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4456"/>
        <w:gridCol w:w="3707"/>
        <w:gridCol w:w="2110"/>
        <w:gridCol w:w="1585"/>
        <w:gridCol w:w="2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shd w:val="clear" w:color="auto" w:fill="auto"/>
            <w:tcMar>
              <w:left w:w="108" w:type="dxa"/>
            </w:tcMar>
            <w:vAlign w:val="center"/>
          </w:tcPr>
          <w:p>
            <w:pPr>
              <w:keepNext/>
              <w:overflowPunct w:val="0"/>
              <w:jc w:val="center"/>
            </w:pPr>
            <w:r>
              <w:t>№</w:t>
            </w:r>
          </w:p>
        </w:tc>
        <w:tc>
          <w:tcPr>
            <w:tcW w:w="4456" w:type="dxa"/>
            <w:shd w:val="clear" w:color="auto" w:fill="auto"/>
            <w:tcMar>
              <w:left w:w="108" w:type="dxa"/>
            </w:tcMar>
            <w:vAlign w:val="center"/>
          </w:tcPr>
          <w:p>
            <w:pPr>
              <w:keepNext/>
              <w:overflowPunct w:val="0"/>
              <w:jc w:val="center"/>
            </w:pPr>
            <w:r>
              <w:t>Риск (согласно карте риска)</w:t>
            </w:r>
          </w:p>
        </w:tc>
        <w:tc>
          <w:tcPr>
            <w:tcW w:w="3707" w:type="dxa"/>
            <w:shd w:val="clear" w:color="auto" w:fill="auto"/>
            <w:tcMar>
              <w:left w:w="108" w:type="dxa"/>
            </w:tcMar>
            <w:vAlign w:val="center"/>
          </w:tcPr>
          <w:p>
            <w:pPr>
              <w:keepNext/>
              <w:overflowPunct w:val="0"/>
              <w:jc w:val="center"/>
            </w:pPr>
            <w:r>
              <w:t>Мероприятия, направленные на минимизацию и устранение рисков</w:t>
            </w:r>
          </w:p>
        </w:tc>
        <w:tc>
          <w:tcPr>
            <w:tcW w:w="2110" w:type="dxa"/>
            <w:shd w:val="clear" w:color="auto" w:fill="auto"/>
            <w:tcMar>
              <w:left w:w="108" w:type="dxa"/>
            </w:tcMar>
            <w:vAlign w:val="center"/>
          </w:tcPr>
          <w:p>
            <w:pPr>
              <w:keepNext/>
              <w:overflowPunct w:val="0"/>
              <w:jc w:val="center"/>
            </w:pPr>
            <w:r>
              <w:t>Ответственный исполнитель</w:t>
            </w:r>
          </w:p>
          <w:p>
            <w:pPr>
              <w:keepNext/>
              <w:overflowPunct w:val="0"/>
              <w:jc w:val="center"/>
            </w:pPr>
            <w:r>
              <w:t>(структурного подразделения)</w:t>
            </w:r>
          </w:p>
        </w:tc>
        <w:tc>
          <w:tcPr>
            <w:tcW w:w="1585" w:type="dxa"/>
            <w:shd w:val="clear" w:color="auto" w:fill="auto"/>
            <w:tcMar>
              <w:left w:w="108" w:type="dxa"/>
            </w:tcMar>
            <w:vAlign w:val="center"/>
          </w:tcPr>
          <w:p>
            <w:pPr>
              <w:keepNext/>
              <w:overflowPunct w:val="0"/>
              <w:jc w:val="center"/>
            </w:pPr>
            <w:r>
              <w:t>Срок исполнения мероприятия</w:t>
            </w:r>
          </w:p>
        </w:tc>
        <w:tc>
          <w:tcPr>
            <w:tcW w:w="2530" w:type="dxa"/>
            <w:shd w:val="clear" w:color="auto" w:fill="auto"/>
            <w:tcMar>
              <w:left w:w="108" w:type="dxa"/>
            </w:tcMar>
            <w:vAlign w:val="center"/>
          </w:tcPr>
          <w:p>
            <w:pPr>
              <w:keepNext/>
              <w:overflowPunct w:val="0"/>
              <w:jc w:val="center"/>
            </w:pPr>
            <w:r>
              <w:t>Ожидаемый результат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shd w:val="clear" w:color="auto" w:fill="auto"/>
            <w:tcMar>
              <w:left w:w="108" w:type="dxa"/>
            </w:tcMar>
          </w:tcPr>
          <w:p>
            <w:pPr>
              <w:keepNext/>
              <w:overflowPunct w:val="0"/>
              <w:jc w:val="center"/>
            </w:pPr>
            <w:r>
              <w:t>1.</w:t>
            </w:r>
          </w:p>
        </w:tc>
        <w:tc>
          <w:tcPr>
            <w:tcW w:w="4456" w:type="dxa"/>
            <w:shd w:val="clear" w:color="auto" w:fill="auto"/>
            <w:tcMar>
              <w:left w:w="108" w:type="dxa"/>
            </w:tcMar>
          </w:tcPr>
          <w:p>
            <w:pPr>
              <w:keepNext/>
              <w:overflowPunct w:val="0"/>
              <w:ind w:right="161"/>
              <w:jc w:val="both"/>
            </w:pPr>
            <w:r>
              <w:t>- координация деятельности участников закупки;</w:t>
            </w:r>
          </w:p>
          <w:p>
            <w:pPr>
              <w:keepNext/>
              <w:overflowPunct w:val="0"/>
              <w:ind w:right="161"/>
              <w:jc w:val="both"/>
            </w:pPr>
            <w:r>
              <w:t>- заключение государственных контрактов (договоров) между заказчиком с участниками закупки, если такие государственные контракты (договоры) имеют своей целью либо приводят или могут привести к ограничению конкуренции и (или) созданию преимущественных условий для каких-либо участников;</w:t>
            </w:r>
          </w:p>
          <w:p>
            <w:pPr>
              <w:keepNext/>
              <w:overflowPunct w:val="0"/>
              <w:ind w:right="161"/>
              <w:jc w:val="both"/>
            </w:pPr>
            <w:r>
              <w:t>- создание участнику закупки или нескольким участникам закупки преимущественных условий участия в закупке, в том числе путем доступа к информации;</w:t>
            </w:r>
          </w:p>
          <w:p>
            <w:pPr>
              <w:keepNext/>
              <w:overflowPunct w:val="0"/>
              <w:ind w:right="161"/>
              <w:jc w:val="both"/>
            </w:pPr>
            <w:r>
              <w:t>- нарушение порядка определения победителя закупки;</w:t>
            </w:r>
          </w:p>
          <w:p>
            <w:pPr>
              <w:keepNext/>
              <w:overflowPunct w:val="0"/>
              <w:ind w:right="161"/>
              <w:jc w:val="both"/>
            </w:pPr>
            <w:r>
              <w:t>- нарушение порядка определения начальной (максимальной) цены государственного контракта</w:t>
            </w:r>
          </w:p>
        </w:tc>
        <w:tc>
          <w:tcPr>
            <w:tcW w:w="3707" w:type="dxa"/>
            <w:shd w:val="clear" w:color="auto" w:fill="auto"/>
            <w:tcMar>
              <w:left w:w="108" w:type="dxa"/>
            </w:tcMar>
          </w:tcPr>
          <w:p>
            <w:pPr>
              <w:pStyle w:val="60"/>
              <w:keepNext/>
              <w:shd w:val="clear" w:color="auto" w:fill="auto"/>
              <w:tabs>
                <w:tab w:val="left" w:pos="24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систематическое повышение квалификации работников Департамента (специалистов по закупкам);</w:t>
            </w:r>
          </w:p>
          <w:p>
            <w:pPr>
              <w:pStyle w:val="60"/>
              <w:keepNext/>
              <w:shd w:val="clear" w:color="auto" w:fill="auto"/>
              <w:tabs>
                <w:tab w:val="left" w:pos="240"/>
                <w:tab w:val="left" w:pos="336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мониторинг и анализ изменений, вносимых в законодательство о контрактной системе в сфере закупок;</w:t>
            </w:r>
          </w:p>
          <w:p>
            <w:pPr>
              <w:pStyle w:val="60"/>
              <w:keepNext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480"/>
                <w:tab w:val="left" w:pos="336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 и анализ применения антимонопольного законодательства;</w:t>
            </w:r>
          </w:p>
          <w:p>
            <w:pPr>
              <w:pStyle w:val="60"/>
              <w:keepNext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480"/>
                <w:tab w:val="left" w:pos="336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изменений в должностные регламенты в части требований о знании и изучении антимонопольного законодательства и изменений, вносимых в законодательство о контрактной системе в сфере закупок;</w:t>
            </w:r>
          </w:p>
          <w:p>
            <w:pPr>
              <w:pStyle w:val="60"/>
              <w:keepNext/>
              <w:numPr>
                <w:ilvl w:val="0"/>
                <w:numId w:val="3"/>
              </w:numPr>
              <w:shd w:val="clear" w:color="auto" w:fill="auto"/>
              <w:tabs>
                <w:tab w:val="left" w:pos="240"/>
                <w:tab w:val="left" w:pos="394"/>
                <w:tab w:val="left" w:pos="336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принятие мер, исключающих доступ хозяйствующих субъектов к информации в приоритетном порядке;</w:t>
            </w:r>
          </w:p>
          <w:p>
            <w:pPr>
              <w:pStyle w:val="60"/>
              <w:keepNext/>
              <w:shd w:val="clear" w:color="auto" w:fill="auto"/>
              <w:tabs>
                <w:tab w:val="left" w:pos="240"/>
                <w:tab w:val="left" w:pos="336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принятие мер по недопущению конфликта интересов,  согласованных действий, ущемляющих права хозяйствующих субъектов;</w:t>
            </w:r>
          </w:p>
          <w:p>
            <w:pPr>
              <w:pStyle w:val="60"/>
              <w:keepNext/>
              <w:shd w:val="clear" w:color="auto" w:fill="auto"/>
              <w:tabs>
                <w:tab w:val="left" w:pos="240"/>
                <w:tab w:val="left" w:pos="336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контроль со стороны руководства за соблюдением требований законодательства в сфере закупок</w:t>
            </w:r>
          </w:p>
        </w:tc>
        <w:tc>
          <w:tcPr>
            <w:tcW w:w="2110" w:type="dxa"/>
            <w:shd w:val="clear" w:color="auto" w:fill="auto"/>
            <w:tcMar>
              <w:left w:w="108" w:type="dxa"/>
            </w:tcMar>
          </w:tcPr>
          <w:p>
            <w:pPr>
              <w:keepNext/>
              <w:overflowPunct w:val="0"/>
              <w:jc w:val="center"/>
            </w:pPr>
            <w:r>
              <w:t>Отдел административно-организационной и правовой работы</w:t>
            </w:r>
          </w:p>
        </w:tc>
        <w:tc>
          <w:tcPr>
            <w:tcW w:w="1585" w:type="dxa"/>
            <w:shd w:val="clear" w:color="auto" w:fill="auto"/>
            <w:tcMar>
              <w:left w:w="108" w:type="dxa"/>
            </w:tcMar>
          </w:tcPr>
          <w:p>
            <w:pPr>
              <w:keepNext/>
              <w:overflowPunct w:val="0"/>
              <w:jc w:val="center"/>
            </w:pPr>
            <w:r>
              <w:t>постоянно</w:t>
            </w:r>
          </w:p>
        </w:tc>
        <w:tc>
          <w:tcPr>
            <w:tcW w:w="2530" w:type="dxa"/>
            <w:shd w:val="clear" w:color="auto" w:fill="auto"/>
            <w:tcMar>
              <w:left w:w="108" w:type="dxa"/>
            </w:tcMar>
          </w:tcPr>
          <w:p>
            <w:pPr>
              <w:pStyle w:val="60"/>
              <w:keepNext/>
              <w:numPr>
                <w:ilvl w:val="0"/>
                <w:numId w:val="4"/>
              </w:numPr>
              <w:shd w:val="clear" w:color="auto" w:fill="auto"/>
              <w:tabs>
                <w:tab w:val="left" w:pos="0"/>
                <w:tab w:val="left" w:pos="24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минимизация рисков нарушения  антимонопольного законодательства;</w:t>
            </w:r>
          </w:p>
          <w:p>
            <w:pPr>
              <w:pStyle w:val="60"/>
              <w:keepNext/>
              <w:numPr>
                <w:ilvl w:val="0"/>
                <w:numId w:val="4"/>
              </w:numPr>
              <w:shd w:val="clear" w:color="auto" w:fill="auto"/>
              <w:tabs>
                <w:tab w:val="left" w:pos="0"/>
                <w:tab w:val="left" w:pos="24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выявленных контрольными органами нарушений антимонопольного законодательства;</w:t>
            </w:r>
          </w:p>
          <w:p>
            <w:pPr>
              <w:pStyle w:val="60"/>
              <w:keepNext/>
              <w:numPr>
                <w:ilvl w:val="0"/>
                <w:numId w:val="4"/>
              </w:numPr>
              <w:shd w:val="clear" w:color="auto" w:fill="auto"/>
              <w:tabs>
                <w:tab w:val="left" w:pos="0"/>
                <w:tab w:val="left" w:pos="24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прохождение работников Департамента обучения по программе повышения квалификации и профессиональной переподготовки;</w:t>
            </w:r>
          </w:p>
          <w:p>
            <w:pPr>
              <w:pStyle w:val="60"/>
              <w:keepNext/>
              <w:numPr>
                <w:ilvl w:val="0"/>
                <w:numId w:val="4"/>
              </w:numPr>
              <w:shd w:val="clear" w:color="auto" w:fill="auto"/>
              <w:tabs>
                <w:tab w:val="left" w:pos="0"/>
                <w:tab w:val="left" w:pos="24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контроля со стороны руководства за соблюдением требований законодательства в сфере закупок.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shd w:val="clear" w:color="auto" w:fill="auto"/>
            <w:tcMar>
              <w:left w:w="108" w:type="dxa"/>
            </w:tcMar>
          </w:tcPr>
          <w:p>
            <w:pPr>
              <w:keepNext/>
              <w:overflowPunct w:val="0"/>
              <w:jc w:val="center"/>
            </w:pPr>
            <w:r>
              <w:t>2.</w:t>
            </w:r>
          </w:p>
        </w:tc>
        <w:tc>
          <w:tcPr>
            <w:tcW w:w="4456" w:type="dxa"/>
            <w:shd w:val="clear" w:color="auto" w:fill="auto"/>
            <w:tcMar>
              <w:left w:w="108" w:type="dxa"/>
            </w:tcMar>
          </w:tcPr>
          <w:p>
            <w:pPr>
              <w:pStyle w:val="60"/>
              <w:keepNext/>
              <w:numPr>
                <w:ilvl w:val="0"/>
                <w:numId w:val="5"/>
              </w:numPr>
              <w:shd w:val="clear" w:color="auto" w:fill="auto"/>
              <w:tabs>
                <w:tab w:val="left" w:pos="240"/>
              </w:tabs>
              <w:overflowPunc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согласованные действия;</w:t>
            </w:r>
          </w:p>
          <w:p>
            <w:pPr>
              <w:pStyle w:val="60"/>
              <w:keepNext/>
              <w:numPr>
                <w:ilvl w:val="0"/>
                <w:numId w:val="5"/>
              </w:numPr>
              <w:shd w:val="clear" w:color="auto" w:fill="auto"/>
              <w:tabs>
                <w:tab w:val="left" w:pos="240"/>
              </w:tabs>
              <w:overflowPunc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хозяйствующим субъектам доступа к информации в приоритетном порядке; </w:t>
            </w:r>
          </w:p>
          <w:p>
            <w:pPr>
              <w:pStyle w:val="60"/>
              <w:keepNext/>
              <w:numPr>
                <w:ilvl w:val="0"/>
                <w:numId w:val="5"/>
              </w:numPr>
              <w:shd w:val="clear" w:color="auto" w:fill="auto"/>
              <w:tabs>
                <w:tab w:val="left" w:pos="240"/>
              </w:tabs>
              <w:overflowPunc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ненадлежащая подготовка документов.</w:t>
            </w:r>
          </w:p>
        </w:tc>
        <w:tc>
          <w:tcPr>
            <w:tcW w:w="3707" w:type="dxa"/>
            <w:shd w:val="clear" w:color="auto" w:fill="auto"/>
            <w:tcMar>
              <w:left w:w="108" w:type="dxa"/>
            </w:tcMar>
          </w:tcPr>
          <w:p>
            <w:pPr>
              <w:pStyle w:val="60"/>
              <w:keepNext/>
              <w:numPr>
                <w:ilvl w:val="0"/>
                <w:numId w:val="3"/>
              </w:numPr>
              <w:shd w:val="clear" w:color="auto" w:fill="auto"/>
              <w:tabs>
                <w:tab w:val="left" w:pos="240"/>
                <w:tab w:val="left" w:pos="394"/>
                <w:tab w:val="left" w:pos="336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изменений в должностные регламенты в части требований о знании и изучении антимонопольного законодательства и нормативных правовых актов, касающихся порядка подготовки заключений о целесообразности привлечения и использования иностранных работников:</w:t>
            </w:r>
          </w:p>
          <w:p>
            <w:pPr>
              <w:pStyle w:val="60"/>
              <w:keepNext/>
              <w:numPr>
                <w:ilvl w:val="0"/>
                <w:numId w:val="3"/>
              </w:numPr>
              <w:shd w:val="clear" w:color="auto" w:fill="auto"/>
              <w:tabs>
                <w:tab w:val="left" w:pos="240"/>
                <w:tab w:val="left" w:pos="394"/>
                <w:tab w:val="left" w:pos="336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 и анализ применения антимонопольного законодательства;</w:t>
            </w:r>
          </w:p>
          <w:p>
            <w:pPr>
              <w:pStyle w:val="60"/>
              <w:keepNext/>
              <w:numPr>
                <w:ilvl w:val="0"/>
                <w:numId w:val="3"/>
              </w:numPr>
              <w:shd w:val="clear" w:color="auto" w:fill="auto"/>
              <w:tabs>
                <w:tab w:val="left" w:pos="240"/>
                <w:tab w:val="left" w:pos="394"/>
                <w:tab w:val="left" w:pos="336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усиление внутреннего контроля со стороны начальника Управления за соблюдением требований нормативных правовых актов, определяющих порядок подготовки заключений о целесообразности привлечения и использования иностранных работников;</w:t>
            </w:r>
          </w:p>
          <w:p>
            <w:pPr>
              <w:pStyle w:val="60"/>
              <w:keepNext/>
              <w:numPr>
                <w:ilvl w:val="0"/>
                <w:numId w:val="3"/>
              </w:numPr>
              <w:shd w:val="clear" w:color="auto" w:fill="auto"/>
              <w:tabs>
                <w:tab w:val="left" w:pos="240"/>
                <w:tab w:val="left" w:pos="394"/>
                <w:tab w:val="left" w:pos="336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своевременное информирование хозяйствующих субъектов об изменениях законодательства посредством размещения информации на официальном сайте Департамента;</w:t>
            </w:r>
          </w:p>
          <w:p>
            <w:pPr>
              <w:pStyle w:val="60"/>
              <w:keepNext/>
              <w:numPr>
                <w:ilvl w:val="0"/>
                <w:numId w:val="3"/>
              </w:numPr>
              <w:shd w:val="clear" w:color="auto" w:fill="auto"/>
              <w:tabs>
                <w:tab w:val="left" w:pos="240"/>
                <w:tab w:val="left" w:pos="394"/>
                <w:tab w:val="left" w:pos="336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принятие мер, исключающих доступ хозяйствующих субъектов к информации в приоритетном порядке;</w:t>
            </w:r>
          </w:p>
          <w:p>
            <w:pPr>
              <w:pStyle w:val="60"/>
              <w:keepNext/>
              <w:numPr>
                <w:ilvl w:val="0"/>
                <w:numId w:val="3"/>
              </w:numPr>
              <w:shd w:val="clear" w:color="auto" w:fill="auto"/>
              <w:tabs>
                <w:tab w:val="left" w:pos="240"/>
                <w:tab w:val="left" w:pos="394"/>
                <w:tab w:val="left" w:pos="336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принятие мер по недопущению конфликта интересов,  согласованных действий, ущемляющих права хозяйствующих субъектов</w:t>
            </w:r>
          </w:p>
        </w:tc>
        <w:tc>
          <w:tcPr>
            <w:tcW w:w="2110" w:type="dxa"/>
            <w:shd w:val="clear" w:color="auto" w:fill="auto"/>
            <w:tcMar>
              <w:left w:w="108" w:type="dxa"/>
            </w:tcMar>
          </w:tcPr>
          <w:p>
            <w:pPr>
              <w:pStyle w:val="60"/>
              <w:keepNext/>
              <w:shd w:val="clear" w:color="auto" w:fill="auto"/>
              <w:tabs>
                <w:tab w:val="left" w:pos="240"/>
              </w:tabs>
              <w:overflowPunct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занятости населения</w:t>
            </w:r>
          </w:p>
        </w:tc>
        <w:tc>
          <w:tcPr>
            <w:tcW w:w="1585" w:type="dxa"/>
            <w:shd w:val="clear" w:color="auto" w:fill="auto"/>
            <w:tcMar>
              <w:left w:w="108" w:type="dxa"/>
            </w:tcMar>
          </w:tcPr>
          <w:p>
            <w:pPr>
              <w:pStyle w:val="60"/>
              <w:keepNext/>
              <w:shd w:val="clear" w:color="auto" w:fill="auto"/>
              <w:tabs>
                <w:tab w:val="left" w:pos="0"/>
                <w:tab w:val="left" w:pos="240"/>
                <w:tab w:val="left" w:pos="480"/>
              </w:tabs>
              <w:overflowPunct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2530" w:type="dxa"/>
            <w:shd w:val="clear" w:color="auto" w:fill="auto"/>
            <w:tcMar>
              <w:left w:w="108" w:type="dxa"/>
            </w:tcMar>
          </w:tcPr>
          <w:p>
            <w:pPr>
              <w:pStyle w:val="60"/>
              <w:keepNext/>
              <w:numPr>
                <w:ilvl w:val="0"/>
                <w:numId w:val="4"/>
              </w:numPr>
              <w:shd w:val="clear" w:color="auto" w:fill="auto"/>
              <w:tabs>
                <w:tab w:val="left" w:pos="0"/>
                <w:tab w:val="left" w:pos="24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минимизация рисков нарушения  антимонопольного законодательства;</w:t>
            </w:r>
          </w:p>
          <w:p>
            <w:pPr>
              <w:pStyle w:val="60"/>
              <w:keepNext/>
              <w:numPr>
                <w:ilvl w:val="0"/>
                <w:numId w:val="4"/>
              </w:numPr>
              <w:shd w:val="clear" w:color="auto" w:fill="auto"/>
              <w:tabs>
                <w:tab w:val="left" w:pos="0"/>
                <w:tab w:val="left" w:pos="24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выявленных контрольными органами нарушений антимонопольного законодательства;</w:t>
            </w:r>
          </w:p>
          <w:p>
            <w:pPr>
              <w:pStyle w:val="60"/>
              <w:keepNext/>
              <w:numPr>
                <w:ilvl w:val="0"/>
                <w:numId w:val="4"/>
              </w:numPr>
              <w:shd w:val="clear" w:color="auto" w:fill="auto"/>
              <w:tabs>
                <w:tab w:val="left" w:pos="0"/>
                <w:tab w:val="left" w:pos="24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контроля со стороны руководства.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shd w:val="clear" w:color="auto" w:fill="auto"/>
            <w:tcMar>
              <w:left w:w="108" w:type="dxa"/>
            </w:tcMar>
          </w:tcPr>
          <w:p>
            <w:pPr>
              <w:keepNext/>
              <w:overflowPunct w:val="0"/>
              <w:jc w:val="center"/>
            </w:pPr>
            <w:r>
              <w:t>3.</w:t>
            </w:r>
          </w:p>
        </w:tc>
        <w:tc>
          <w:tcPr>
            <w:tcW w:w="4456" w:type="dxa"/>
            <w:shd w:val="clear" w:color="auto" w:fill="auto"/>
            <w:tcMar>
              <w:left w:w="108" w:type="dxa"/>
            </w:tcMar>
          </w:tcPr>
          <w:p>
            <w:pPr>
              <w:pStyle w:val="60"/>
              <w:keepNext/>
              <w:numPr>
                <w:ilvl w:val="0"/>
                <w:numId w:val="5"/>
              </w:numPr>
              <w:shd w:val="clear" w:color="auto" w:fill="auto"/>
              <w:tabs>
                <w:tab w:val="left" w:pos="240"/>
              </w:tabs>
              <w:overflowPunc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дискриминационных или преимущественных условий для отдельных хозяйствующих субъектов;</w:t>
            </w:r>
          </w:p>
          <w:p>
            <w:pPr>
              <w:pStyle w:val="60"/>
              <w:keepNext/>
              <w:numPr>
                <w:ilvl w:val="0"/>
                <w:numId w:val="5"/>
              </w:numPr>
              <w:shd w:val="clear" w:color="auto" w:fill="auto"/>
              <w:tabs>
                <w:tab w:val="left" w:pos="240"/>
              </w:tabs>
              <w:overflowPunc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дополнительных (необоснованных) ограничений и требований для отдельных хозяйствующих субъектов;</w:t>
            </w:r>
          </w:p>
          <w:p>
            <w:pPr>
              <w:pStyle w:val="60"/>
              <w:keepNext/>
              <w:numPr>
                <w:ilvl w:val="0"/>
                <w:numId w:val="5"/>
              </w:numPr>
              <w:shd w:val="clear" w:color="auto" w:fill="auto"/>
              <w:tabs>
                <w:tab w:val="left" w:pos="240"/>
              </w:tabs>
              <w:overflowPunc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ограничений прав граждан на выбор хозяйствующего субьекта при получении мер социальной поддержки в форме денежной выплаты</w:t>
            </w:r>
          </w:p>
        </w:tc>
        <w:tc>
          <w:tcPr>
            <w:tcW w:w="3707" w:type="dxa"/>
            <w:shd w:val="clear" w:color="auto" w:fill="auto"/>
            <w:tcMar>
              <w:left w:w="108" w:type="dxa"/>
            </w:tcMar>
          </w:tcPr>
          <w:p>
            <w:pPr>
              <w:pStyle w:val="60"/>
              <w:keepNext/>
              <w:numPr>
                <w:ilvl w:val="0"/>
                <w:numId w:val="3"/>
              </w:numPr>
              <w:shd w:val="clear" w:color="auto" w:fill="auto"/>
              <w:tabs>
                <w:tab w:val="left" w:pos="240"/>
                <w:tab w:val="left" w:pos="394"/>
                <w:tab w:val="left" w:pos="336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изменений в должностные регламенты в части требований о знании и изучении антимонопольного законодательства и изменений, вносимых в законодательство о социальной защиты и социального обслуживания граждан (инвалидов), в сфере занятости населения;</w:t>
            </w:r>
          </w:p>
          <w:p>
            <w:pPr>
              <w:pStyle w:val="60"/>
              <w:keepNext/>
              <w:numPr>
                <w:ilvl w:val="0"/>
                <w:numId w:val="3"/>
              </w:numPr>
              <w:shd w:val="clear" w:color="auto" w:fill="auto"/>
              <w:tabs>
                <w:tab w:val="left" w:pos="240"/>
                <w:tab w:val="left" w:pos="394"/>
                <w:tab w:val="left" w:pos="336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проектов нормативно правовых актов на соответствие требованиям антимонопольного законодательства;</w:t>
            </w:r>
          </w:p>
          <w:p>
            <w:pPr>
              <w:pStyle w:val="60"/>
              <w:keepNext/>
              <w:numPr>
                <w:ilvl w:val="0"/>
                <w:numId w:val="3"/>
              </w:numPr>
              <w:shd w:val="clear" w:color="auto" w:fill="auto"/>
              <w:tabs>
                <w:tab w:val="left" w:pos="240"/>
                <w:tab w:val="left" w:pos="394"/>
                <w:tab w:val="left" w:pos="336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проектов нормативных правовых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актов, действующих нормативных правовых актов на официальном сайте Департамента для проведения анализа на предмет соответствия их антимонопольному законодательству;</w:t>
            </w:r>
          </w:p>
          <w:p>
            <w:pPr>
              <w:pStyle w:val="60"/>
              <w:keepNext/>
              <w:numPr>
                <w:ilvl w:val="0"/>
                <w:numId w:val="3"/>
              </w:numPr>
              <w:shd w:val="clear" w:color="auto" w:fill="auto"/>
              <w:tabs>
                <w:tab w:val="left" w:pos="240"/>
                <w:tab w:val="left" w:pos="394"/>
                <w:tab w:val="left" w:pos="336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и оценка поступивших от организаций и граждан замечаний и предложений по проекту нормативного правового акта, по действующему нормативному правовому акту о несоответствии их антимонопольному законодательству;</w:t>
            </w:r>
          </w:p>
          <w:p>
            <w:pPr>
              <w:pStyle w:val="60"/>
              <w:keepNext/>
              <w:numPr>
                <w:ilvl w:val="0"/>
                <w:numId w:val="3"/>
              </w:numPr>
              <w:shd w:val="clear" w:color="auto" w:fill="auto"/>
              <w:tabs>
                <w:tab w:val="left" w:pos="240"/>
                <w:tab w:val="left" w:pos="394"/>
                <w:tab w:val="left" w:pos="336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систематическое повышение квалификации работников, осуществляющих разработку нормативных правовых актов;</w:t>
            </w:r>
          </w:p>
          <w:p>
            <w:pPr>
              <w:pStyle w:val="60"/>
              <w:keepNext/>
              <w:numPr>
                <w:ilvl w:val="0"/>
                <w:numId w:val="3"/>
              </w:numPr>
              <w:shd w:val="clear" w:color="auto" w:fill="auto"/>
              <w:tabs>
                <w:tab w:val="left" w:pos="240"/>
                <w:tab w:val="left" w:pos="394"/>
                <w:tab w:val="left" w:pos="336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изменений, вносимых в законодательство в сфере социальной защиты и социального обслуживания граждан (инвалидов), в сфере занятости населения;</w:t>
            </w:r>
          </w:p>
          <w:p>
            <w:pPr>
              <w:pStyle w:val="60"/>
              <w:keepNext/>
              <w:numPr>
                <w:ilvl w:val="0"/>
                <w:numId w:val="3"/>
              </w:numPr>
              <w:shd w:val="clear" w:color="auto" w:fill="auto"/>
              <w:tabs>
                <w:tab w:val="left" w:pos="240"/>
                <w:tab w:val="left" w:pos="394"/>
                <w:tab w:val="left" w:pos="336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 и анализ применения антимонопольного законодательства;</w:t>
            </w:r>
          </w:p>
          <w:p>
            <w:pPr>
              <w:pStyle w:val="60"/>
              <w:keepNext/>
              <w:numPr>
                <w:ilvl w:val="0"/>
                <w:numId w:val="3"/>
              </w:numPr>
              <w:shd w:val="clear" w:color="auto" w:fill="auto"/>
              <w:tabs>
                <w:tab w:val="left" w:pos="240"/>
                <w:tab w:val="left" w:pos="394"/>
                <w:tab w:val="left" w:pos="336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усиление внутреннего контроля при подготовке нормативных правовых актов</w:t>
            </w:r>
          </w:p>
        </w:tc>
        <w:tc>
          <w:tcPr>
            <w:tcW w:w="2110" w:type="dxa"/>
            <w:shd w:val="clear" w:color="auto" w:fill="auto"/>
            <w:tcMar>
              <w:left w:w="108" w:type="dxa"/>
            </w:tcMar>
          </w:tcPr>
          <w:p>
            <w:pPr>
              <w:pStyle w:val="60"/>
              <w:keepNext/>
              <w:shd w:val="clear" w:color="auto" w:fill="auto"/>
              <w:overflowPunct w:val="0"/>
              <w:ind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занятости населения; </w:t>
            </w:r>
          </w:p>
          <w:p>
            <w:pPr>
              <w:pStyle w:val="60"/>
              <w:keepNext/>
              <w:shd w:val="clear" w:color="auto" w:fill="auto"/>
              <w:overflowPunct w:val="0"/>
              <w:ind w:right="-77"/>
              <w:jc w:val="center"/>
              <w:rPr>
                <w:sz w:val="24"/>
                <w:szCs w:val="24"/>
              </w:rPr>
            </w:pPr>
          </w:p>
          <w:p>
            <w:pPr>
              <w:pStyle w:val="60"/>
              <w:keepNext/>
              <w:shd w:val="clear" w:color="auto" w:fill="auto"/>
              <w:overflowPunct w:val="0"/>
              <w:ind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социальной поддержки населения; </w:t>
            </w:r>
          </w:p>
          <w:p>
            <w:pPr>
              <w:pStyle w:val="60"/>
              <w:keepNext/>
              <w:shd w:val="clear" w:color="auto" w:fill="auto"/>
              <w:overflowPunct w:val="0"/>
              <w:ind w:right="-77"/>
              <w:jc w:val="center"/>
              <w:rPr>
                <w:sz w:val="24"/>
                <w:szCs w:val="24"/>
              </w:rPr>
            </w:pPr>
          </w:p>
          <w:p>
            <w:pPr>
              <w:pStyle w:val="60"/>
              <w:keepNext/>
              <w:shd w:val="clear" w:color="auto" w:fill="auto"/>
              <w:overflowPunct w:val="0"/>
              <w:ind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Финансово-экономическое управление</w:t>
            </w:r>
          </w:p>
          <w:p>
            <w:pPr>
              <w:pStyle w:val="60"/>
              <w:keepNext/>
              <w:shd w:val="clear" w:color="auto" w:fill="auto"/>
              <w:overflowPunct w:val="0"/>
              <w:ind w:right="-77"/>
              <w:jc w:val="center"/>
              <w:rPr>
                <w:sz w:val="24"/>
                <w:szCs w:val="24"/>
              </w:rPr>
            </w:pPr>
          </w:p>
          <w:p>
            <w:pPr>
              <w:pStyle w:val="60"/>
              <w:keepNext/>
              <w:shd w:val="clear" w:color="auto" w:fill="auto"/>
              <w:overflowPunct w:val="0"/>
              <w:ind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административно-организационной и правовой работы</w:t>
            </w:r>
          </w:p>
          <w:p>
            <w:pPr>
              <w:pStyle w:val="60"/>
              <w:keepNext/>
              <w:shd w:val="clear" w:color="auto" w:fill="auto"/>
              <w:tabs>
                <w:tab w:val="left" w:pos="240"/>
              </w:tabs>
              <w:overflowPunct w:val="0"/>
              <w:rPr>
                <w:sz w:val="24"/>
                <w:szCs w:val="24"/>
              </w:rPr>
            </w:pPr>
          </w:p>
        </w:tc>
        <w:tc>
          <w:tcPr>
            <w:tcW w:w="1585" w:type="dxa"/>
            <w:shd w:val="clear" w:color="auto" w:fill="auto"/>
            <w:tcMar>
              <w:left w:w="108" w:type="dxa"/>
            </w:tcMar>
          </w:tcPr>
          <w:p>
            <w:pPr>
              <w:pStyle w:val="60"/>
              <w:keepNext/>
              <w:shd w:val="clear" w:color="auto" w:fill="auto"/>
              <w:tabs>
                <w:tab w:val="left" w:pos="0"/>
                <w:tab w:val="left" w:pos="240"/>
                <w:tab w:val="left" w:pos="480"/>
              </w:tabs>
              <w:overflowPunct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2530" w:type="dxa"/>
            <w:shd w:val="clear" w:color="auto" w:fill="auto"/>
            <w:tcMar>
              <w:left w:w="108" w:type="dxa"/>
            </w:tcMar>
          </w:tcPr>
          <w:p>
            <w:pPr>
              <w:pStyle w:val="60"/>
              <w:keepNext/>
              <w:numPr>
                <w:ilvl w:val="0"/>
                <w:numId w:val="4"/>
              </w:numPr>
              <w:shd w:val="clear" w:color="auto" w:fill="auto"/>
              <w:tabs>
                <w:tab w:val="left" w:pos="0"/>
                <w:tab w:val="left" w:pos="24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минимизация рисков нарушения  антимонопольного законодательства;</w:t>
            </w:r>
          </w:p>
          <w:p>
            <w:pPr>
              <w:pStyle w:val="60"/>
              <w:keepNext/>
              <w:numPr>
                <w:ilvl w:val="0"/>
                <w:numId w:val="4"/>
              </w:numPr>
              <w:shd w:val="clear" w:color="auto" w:fill="auto"/>
              <w:tabs>
                <w:tab w:val="left" w:pos="0"/>
                <w:tab w:val="left" w:pos="24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выявленных контрольными органами нарушений антимонопольного законодательства;</w:t>
            </w:r>
          </w:p>
          <w:p>
            <w:pPr>
              <w:pStyle w:val="60"/>
              <w:keepNext/>
              <w:numPr>
                <w:ilvl w:val="0"/>
                <w:numId w:val="4"/>
              </w:numPr>
              <w:shd w:val="clear" w:color="auto" w:fill="auto"/>
              <w:tabs>
                <w:tab w:val="left" w:pos="0"/>
                <w:tab w:val="left" w:pos="24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контроля со стороны руководства.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shd w:val="clear" w:color="auto" w:fill="auto"/>
            <w:tcMar>
              <w:left w:w="108" w:type="dxa"/>
            </w:tcMar>
          </w:tcPr>
          <w:p>
            <w:pPr>
              <w:keepNext/>
              <w:overflowPunct w:val="0"/>
              <w:jc w:val="center"/>
            </w:pPr>
            <w:r>
              <w:t>4.</w:t>
            </w:r>
          </w:p>
        </w:tc>
        <w:tc>
          <w:tcPr>
            <w:tcW w:w="4456" w:type="dxa"/>
            <w:shd w:val="clear" w:color="auto" w:fill="auto"/>
            <w:tcMar>
              <w:left w:w="108" w:type="dxa"/>
            </w:tcMar>
          </w:tcPr>
          <w:p>
            <w:pPr>
              <w:pStyle w:val="60"/>
              <w:keepNext/>
              <w:numPr>
                <w:ilvl w:val="0"/>
                <w:numId w:val="5"/>
              </w:numPr>
              <w:shd w:val="clear" w:color="auto" w:fill="auto"/>
              <w:tabs>
                <w:tab w:val="left" w:pos="240"/>
              </w:tabs>
              <w:overflowPunc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заведомо ложных сведений в процессуальные документы при производстве административного дела;</w:t>
            </w:r>
          </w:p>
          <w:p>
            <w:pPr>
              <w:pStyle w:val="60"/>
              <w:keepNext/>
              <w:numPr>
                <w:ilvl w:val="0"/>
                <w:numId w:val="5"/>
              </w:numPr>
              <w:shd w:val="clear" w:color="auto" w:fill="auto"/>
              <w:tabs>
                <w:tab w:val="left" w:pos="240"/>
              </w:tabs>
              <w:overflowPunc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протокола (предостережения) на заведомо неуполномоченного представителя юридического лица (индивидуального предпринимателя);</w:t>
            </w:r>
          </w:p>
          <w:p>
            <w:pPr>
              <w:pStyle w:val="60"/>
              <w:keepNext/>
              <w:numPr>
                <w:ilvl w:val="0"/>
                <w:numId w:val="5"/>
              </w:numPr>
              <w:shd w:val="clear" w:color="auto" w:fill="auto"/>
              <w:tabs>
                <w:tab w:val="left" w:pos="240"/>
              </w:tabs>
              <w:overflowPunc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протокола (предостережения) с нарушением установленного срока или не направление протокола (предостережения) в целях последующей их отмены .</w:t>
            </w:r>
          </w:p>
        </w:tc>
        <w:tc>
          <w:tcPr>
            <w:tcW w:w="3707" w:type="dxa"/>
            <w:shd w:val="clear" w:color="auto" w:fill="auto"/>
            <w:tcMar>
              <w:left w:w="108" w:type="dxa"/>
            </w:tcMar>
          </w:tcPr>
          <w:p>
            <w:pPr>
              <w:pStyle w:val="60"/>
              <w:keepNext/>
              <w:shd w:val="clear" w:color="auto" w:fill="auto"/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внесение изменений в должностные регламенты в части требований о знании и изучении антимонопольного законодательства и КоАП РФ;</w:t>
            </w:r>
          </w:p>
          <w:p>
            <w:pPr>
              <w:pStyle w:val="60"/>
              <w:keepNext/>
              <w:shd w:val="clear" w:color="auto" w:fill="auto"/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мониторинг и анализ применения антимонопольного законодательства;</w:t>
            </w:r>
          </w:p>
          <w:p>
            <w:pPr>
              <w:pStyle w:val="60"/>
              <w:keepNext/>
              <w:shd w:val="clear" w:color="auto" w:fill="auto"/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применение мер по недопущению конфликта интересов, согласованных действий, ущемляющих права хозяйствующих субъектов;</w:t>
            </w:r>
          </w:p>
          <w:p>
            <w:pPr>
              <w:pStyle w:val="60"/>
              <w:keepNext/>
              <w:shd w:val="clear" w:color="auto" w:fill="auto"/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повышение уровня квалификации должностных лиц;</w:t>
            </w:r>
          </w:p>
          <w:p>
            <w:pPr>
              <w:pStyle w:val="60"/>
              <w:keepNext/>
              <w:shd w:val="clear" w:color="auto" w:fill="auto"/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контроль за соблюдением требований установленных КоАП РФ;</w:t>
            </w:r>
          </w:p>
          <w:p>
            <w:pPr>
              <w:pStyle w:val="60"/>
              <w:keepNext/>
              <w:shd w:val="clear" w:color="auto" w:fill="auto"/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мониторинг и анализ изменений КоАП РФ</w:t>
            </w:r>
          </w:p>
        </w:tc>
        <w:tc>
          <w:tcPr>
            <w:tcW w:w="2110" w:type="dxa"/>
            <w:shd w:val="clear" w:color="auto" w:fill="auto"/>
            <w:tcMar>
              <w:left w:w="108" w:type="dxa"/>
            </w:tcMar>
          </w:tcPr>
          <w:p>
            <w:pPr>
              <w:pStyle w:val="60"/>
              <w:keepNext/>
              <w:shd w:val="clear" w:color="auto" w:fill="auto"/>
              <w:overflowPunct w:val="0"/>
              <w:ind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занятости населения</w:t>
            </w:r>
          </w:p>
          <w:p>
            <w:pPr>
              <w:pStyle w:val="60"/>
              <w:keepNext/>
              <w:shd w:val="clear" w:color="auto" w:fill="auto"/>
              <w:overflowPunct w:val="0"/>
              <w:ind w:right="-77"/>
              <w:jc w:val="center"/>
              <w:rPr>
                <w:sz w:val="24"/>
                <w:szCs w:val="24"/>
              </w:rPr>
            </w:pPr>
          </w:p>
          <w:p>
            <w:pPr>
              <w:pStyle w:val="60"/>
              <w:keepNext/>
              <w:shd w:val="clear" w:color="auto" w:fill="auto"/>
              <w:overflowPunct w:val="0"/>
              <w:ind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административно-организационной и правовой работы</w:t>
            </w:r>
          </w:p>
          <w:p>
            <w:pPr>
              <w:pStyle w:val="60"/>
              <w:keepNext/>
              <w:shd w:val="clear" w:color="auto" w:fill="auto"/>
              <w:tabs>
                <w:tab w:val="left" w:pos="240"/>
              </w:tabs>
              <w:overflowPunct w:val="0"/>
              <w:rPr>
                <w:sz w:val="24"/>
                <w:szCs w:val="24"/>
              </w:rPr>
            </w:pPr>
          </w:p>
        </w:tc>
        <w:tc>
          <w:tcPr>
            <w:tcW w:w="1585" w:type="dxa"/>
            <w:shd w:val="clear" w:color="auto" w:fill="auto"/>
            <w:tcMar>
              <w:left w:w="108" w:type="dxa"/>
            </w:tcMar>
          </w:tcPr>
          <w:p>
            <w:pPr>
              <w:pStyle w:val="60"/>
              <w:keepNext/>
              <w:shd w:val="clear" w:color="auto" w:fill="auto"/>
              <w:tabs>
                <w:tab w:val="left" w:pos="0"/>
                <w:tab w:val="left" w:pos="240"/>
                <w:tab w:val="left" w:pos="480"/>
              </w:tabs>
              <w:overflowPunct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2530" w:type="dxa"/>
            <w:shd w:val="clear" w:color="auto" w:fill="auto"/>
            <w:tcMar>
              <w:left w:w="108" w:type="dxa"/>
            </w:tcMar>
          </w:tcPr>
          <w:p>
            <w:pPr>
              <w:pStyle w:val="60"/>
              <w:keepNext/>
              <w:numPr>
                <w:ilvl w:val="0"/>
                <w:numId w:val="4"/>
              </w:numPr>
              <w:shd w:val="clear" w:color="auto" w:fill="auto"/>
              <w:tabs>
                <w:tab w:val="left" w:pos="0"/>
                <w:tab w:val="left" w:pos="24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минимизация рисков нарушения  антимонопольного законодательства;</w:t>
            </w:r>
          </w:p>
          <w:p>
            <w:pPr>
              <w:pStyle w:val="60"/>
              <w:keepNext/>
              <w:numPr>
                <w:ilvl w:val="0"/>
                <w:numId w:val="4"/>
              </w:numPr>
              <w:shd w:val="clear" w:color="auto" w:fill="auto"/>
              <w:tabs>
                <w:tab w:val="left" w:pos="0"/>
                <w:tab w:val="left" w:pos="24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выявленных контрольными органами нарушений антимонопольного законодательства;</w:t>
            </w:r>
          </w:p>
          <w:p>
            <w:pPr>
              <w:pStyle w:val="60"/>
              <w:keepNext/>
              <w:numPr>
                <w:ilvl w:val="0"/>
                <w:numId w:val="4"/>
              </w:numPr>
              <w:shd w:val="clear" w:color="auto" w:fill="auto"/>
              <w:tabs>
                <w:tab w:val="left" w:pos="0"/>
                <w:tab w:val="left" w:pos="24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контроля со стороны руководства</w:t>
            </w:r>
          </w:p>
        </w:tc>
      </w:tr>
    </w:tbl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/>
    <w:sectPr>
      <w:headerReference r:id="rId5" w:type="default"/>
      <w:footerReference r:id="rId6" w:type="default"/>
      <w:pgSz w:w="16838" w:h="11906" w:orient="landscape"/>
      <w:pgMar w:top="1417" w:right="567" w:bottom="766" w:left="1134" w:header="709" w:footer="709" w:gutter="0"/>
      <w:cols w:space="720" w:num="1"/>
      <w:formProt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angal">
    <w:panose1 w:val="02040503050203030202"/>
    <w:charset w:val="01"/>
    <w:family w:val="roman"/>
    <w:pitch w:val="default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CC"/>
    <w:family w:val="roman"/>
    <w:pitch w:val="default"/>
    <w:sig w:usb0="A10006FF" w:usb1="4000205B" w:usb2="00000010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B357A"/>
    <w:multiLevelType w:val="multilevel"/>
    <w:tmpl w:val="0B1B357A"/>
    <w:lvl w:ilvl="0" w:tentative="0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2"/>
        <w:u w:val="none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>
    <w:nsid w:val="0FF4316B"/>
    <w:multiLevelType w:val="multilevel"/>
    <w:tmpl w:val="0FF4316B"/>
    <w:lvl w:ilvl="0" w:tentative="0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2"/>
        <w:u w:val="none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>
    <w:nsid w:val="1E2B0285"/>
    <w:multiLevelType w:val="multilevel"/>
    <w:tmpl w:val="1E2B0285"/>
    <w:lvl w:ilvl="0" w:tentative="0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2"/>
        <w:u w:val="none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">
    <w:nsid w:val="33F21101"/>
    <w:multiLevelType w:val="multilevel"/>
    <w:tmpl w:val="33F21101"/>
    <w:lvl w:ilvl="0" w:tentative="0">
      <w:start w:val="1"/>
      <w:numFmt w:val="decimal"/>
      <w:lvlText w:val="%1."/>
      <w:lvlJc w:val="left"/>
      <w:pPr>
        <w:ind w:left="1146" w:hanging="360"/>
      </w:pPr>
    </w:lvl>
    <w:lvl w:ilvl="1" w:tentative="0">
      <w:start w:val="1"/>
      <w:numFmt w:val="lowerLetter"/>
      <w:lvlText w:val="%2."/>
      <w:lvlJc w:val="left"/>
      <w:pPr>
        <w:ind w:left="1866" w:hanging="360"/>
      </w:pPr>
    </w:lvl>
    <w:lvl w:ilvl="2" w:tentative="0">
      <w:start w:val="1"/>
      <w:numFmt w:val="lowerRoman"/>
      <w:lvlText w:val="%3."/>
      <w:lvlJc w:val="right"/>
      <w:pPr>
        <w:ind w:left="2586" w:hanging="180"/>
      </w:pPr>
    </w:lvl>
    <w:lvl w:ilvl="3" w:tentative="0">
      <w:start w:val="1"/>
      <w:numFmt w:val="decimal"/>
      <w:lvlText w:val="%4."/>
      <w:lvlJc w:val="left"/>
      <w:pPr>
        <w:ind w:left="3306" w:hanging="360"/>
      </w:pPr>
    </w:lvl>
    <w:lvl w:ilvl="4" w:tentative="0">
      <w:start w:val="1"/>
      <w:numFmt w:val="lowerLetter"/>
      <w:lvlText w:val="%5."/>
      <w:lvlJc w:val="left"/>
      <w:pPr>
        <w:ind w:left="4026" w:hanging="360"/>
      </w:pPr>
    </w:lvl>
    <w:lvl w:ilvl="5" w:tentative="0">
      <w:start w:val="1"/>
      <w:numFmt w:val="lowerRoman"/>
      <w:lvlText w:val="%6."/>
      <w:lvlJc w:val="right"/>
      <w:pPr>
        <w:ind w:left="4746" w:hanging="180"/>
      </w:pPr>
    </w:lvl>
    <w:lvl w:ilvl="6" w:tentative="0">
      <w:start w:val="1"/>
      <w:numFmt w:val="decimal"/>
      <w:lvlText w:val="%7."/>
      <w:lvlJc w:val="left"/>
      <w:pPr>
        <w:ind w:left="5466" w:hanging="360"/>
      </w:pPr>
    </w:lvl>
    <w:lvl w:ilvl="7" w:tentative="0">
      <w:start w:val="1"/>
      <w:numFmt w:val="lowerLetter"/>
      <w:lvlText w:val="%8."/>
      <w:lvlJc w:val="left"/>
      <w:pPr>
        <w:ind w:left="6186" w:hanging="360"/>
      </w:pPr>
    </w:lvl>
    <w:lvl w:ilvl="8" w:tentative="0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42A20CA4"/>
    <w:multiLevelType w:val="multilevel"/>
    <w:tmpl w:val="42A20CA4"/>
    <w:lvl w:ilvl="0" w:tentative="0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2"/>
        <w:u w:val="none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ocumentProtection w:enforcement="0"/>
  <w:defaultTabStop w:val="56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E86"/>
    <w:rsid w:val="00155F02"/>
    <w:rsid w:val="001E724B"/>
    <w:rsid w:val="00263E1D"/>
    <w:rsid w:val="003F1C62"/>
    <w:rsid w:val="00750E39"/>
    <w:rsid w:val="00774E86"/>
    <w:rsid w:val="00C51B8D"/>
    <w:rsid w:val="2812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 Unicode MS" w:hAnsi="Arial Unicode MS" w:eastAsia="Arial Unicode MS" w:cs="Arial Unicode MS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qFormat="1" w:unhideWhenUsed="0" w:uiPriority="0" w:semiHidden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qFormat="1" w:unhideWhenUsed="0" w:uiPriority="0" w:semiHidden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14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rFonts w:ascii="Tahoma" w:hAnsi="Tahoma"/>
      <w:sz w:val="16"/>
      <w:szCs w:val="16"/>
      <w:lang w:val="zh-CN" w:eastAsia="zh-CN"/>
    </w:rPr>
  </w:style>
  <w:style w:type="paragraph" w:styleId="3">
    <w:name w:val="Body Text Indent 3"/>
    <w:basedOn w:val="1"/>
    <w:qFormat/>
    <w:uiPriority w:val="0"/>
    <w:pPr>
      <w:spacing w:after="120"/>
      <w:ind w:left="283"/>
    </w:pPr>
    <w:rPr>
      <w:sz w:val="16"/>
      <w:szCs w:val="16"/>
      <w:lang w:val="zh-CN" w:eastAsia="zh-CN"/>
    </w:rPr>
  </w:style>
  <w:style w:type="paragraph" w:styleId="4">
    <w:name w:val="caption"/>
    <w:basedOn w:val="1"/>
    <w:next w:val="1"/>
    <w:qFormat/>
    <w:uiPriority w:val="0"/>
    <w:pPr>
      <w:jc w:val="center"/>
    </w:pPr>
    <w:rPr>
      <w:b/>
      <w:sz w:val="28"/>
      <w:szCs w:val="20"/>
    </w:rPr>
  </w:style>
  <w:style w:type="paragraph" w:styleId="5">
    <w:name w:val="annotation text"/>
    <w:basedOn w:val="1"/>
    <w:qFormat/>
    <w:uiPriority w:val="0"/>
    <w:rPr>
      <w:sz w:val="20"/>
      <w:szCs w:val="20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7">
    <w:name w:val="Body Text"/>
    <w:basedOn w:val="1"/>
    <w:qFormat/>
    <w:uiPriority w:val="0"/>
    <w:pPr>
      <w:spacing w:after="120"/>
    </w:pPr>
  </w:style>
  <w:style w:type="paragraph" w:styleId="8">
    <w:name w:val="index heading"/>
    <w:basedOn w:val="1"/>
    <w:next w:val="9"/>
    <w:qFormat/>
    <w:uiPriority w:val="0"/>
    <w:pPr>
      <w:suppressLineNumbers/>
    </w:pPr>
    <w:rPr>
      <w:rFonts w:cs="Mangal"/>
    </w:rPr>
  </w:style>
  <w:style w:type="paragraph" w:styleId="9">
    <w:name w:val="index 1"/>
    <w:basedOn w:val="1"/>
    <w:next w:val="1"/>
    <w:semiHidden/>
    <w:unhideWhenUsed/>
    <w:uiPriority w:val="0"/>
  </w:style>
  <w:style w:type="paragraph" w:styleId="10">
    <w:name w:val="Body Text Indent"/>
    <w:basedOn w:val="1"/>
    <w:qFormat/>
    <w:uiPriority w:val="0"/>
    <w:pPr>
      <w:spacing w:line="360" w:lineRule="auto"/>
      <w:ind w:firstLine="630"/>
      <w:jc w:val="both"/>
      <w:outlineLvl w:val="2"/>
    </w:pPr>
    <w:rPr>
      <w:szCs w:val="22"/>
    </w:rPr>
  </w:style>
  <w:style w:type="paragraph" w:styleId="11">
    <w:name w:val="Title"/>
    <w:basedOn w:val="1"/>
    <w:qFormat/>
    <w:uiPriority w:val="0"/>
    <w:pPr>
      <w:jc w:val="center"/>
    </w:pPr>
    <w:rPr>
      <w:sz w:val="28"/>
      <w:szCs w:val="20"/>
    </w:rPr>
  </w:style>
  <w:style w:type="paragraph" w:styleId="12">
    <w:name w:val="List"/>
    <w:basedOn w:val="7"/>
    <w:qFormat/>
    <w:uiPriority w:val="0"/>
    <w:rPr>
      <w:rFonts w:cs="Mangal"/>
    </w:rPr>
  </w:style>
  <w:style w:type="paragraph" w:styleId="13">
    <w:name w:val="Body Text 3"/>
    <w:basedOn w:val="1"/>
    <w:qFormat/>
    <w:uiPriority w:val="0"/>
    <w:pPr>
      <w:spacing w:after="120"/>
    </w:pPr>
    <w:rPr>
      <w:sz w:val="16"/>
      <w:szCs w:val="16"/>
      <w:lang w:val="zh-CN" w:eastAsia="zh-CN"/>
    </w:rPr>
  </w:style>
  <w:style w:type="character" w:styleId="15">
    <w:name w:val="page number"/>
    <w:basedOn w:val="14"/>
    <w:qFormat/>
    <w:uiPriority w:val="0"/>
  </w:style>
  <w:style w:type="table" w:styleId="17">
    <w:name w:val="Table Grid"/>
    <w:basedOn w:val="1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Заголовок 11"/>
    <w:basedOn w:val="1"/>
    <w:qFormat/>
    <w:uiPriority w:val="0"/>
    <w:pPr>
      <w:keepNext/>
      <w:jc w:val="center"/>
      <w:outlineLvl w:val="0"/>
    </w:pPr>
    <w:rPr>
      <w:b/>
      <w:sz w:val="28"/>
      <w:szCs w:val="20"/>
      <w:lang w:val="zh-CN" w:eastAsia="zh-CN"/>
    </w:rPr>
  </w:style>
  <w:style w:type="paragraph" w:customStyle="1" w:styleId="19">
    <w:name w:val="Заголовок 21"/>
    <w:basedOn w:val="1"/>
    <w:link w:val="30"/>
    <w:qFormat/>
    <w:uiPriority w:val="0"/>
    <w:pPr>
      <w:keepNext/>
      <w:outlineLvl w:val="1"/>
    </w:pPr>
    <w:rPr>
      <w:sz w:val="28"/>
      <w:szCs w:val="20"/>
      <w:lang w:val="zh-CN" w:eastAsia="zh-CN"/>
    </w:rPr>
  </w:style>
  <w:style w:type="paragraph" w:customStyle="1" w:styleId="20">
    <w:name w:val="Заголовок 31"/>
    <w:basedOn w:val="1"/>
    <w:link w:val="32"/>
    <w:qFormat/>
    <w:uiPriority w:val="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21">
    <w:name w:val="Заголовок 41"/>
    <w:basedOn w:val="1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customStyle="1" w:styleId="22">
    <w:name w:val="Заголовок 71"/>
    <w:basedOn w:val="1"/>
    <w:link w:val="34"/>
    <w:qFormat/>
    <w:uiPriority w:val="0"/>
    <w:pPr>
      <w:spacing w:before="240" w:after="60"/>
      <w:outlineLvl w:val="6"/>
    </w:pPr>
    <w:rPr>
      <w:lang w:val="zh-CN" w:eastAsia="zh-CN"/>
    </w:rPr>
  </w:style>
  <w:style w:type="paragraph" w:customStyle="1" w:styleId="23">
    <w:name w:val="Заголовок 81"/>
    <w:basedOn w:val="1"/>
    <w:link w:val="35"/>
    <w:qFormat/>
    <w:uiPriority w:val="0"/>
    <w:pPr>
      <w:keepNext/>
      <w:outlineLvl w:val="7"/>
    </w:pPr>
    <w:rPr>
      <w:sz w:val="26"/>
      <w:szCs w:val="20"/>
      <w:lang w:val="zh-CN" w:eastAsia="zh-CN"/>
    </w:rPr>
  </w:style>
  <w:style w:type="paragraph" w:customStyle="1" w:styleId="24">
    <w:name w:val="Заголовок 91"/>
    <w:basedOn w:val="1"/>
    <w:link w:val="28"/>
    <w:qFormat/>
    <w:uiPriority w:val="0"/>
    <w:pPr>
      <w:keepNext/>
      <w:jc w:val="right"/>
      <w:outlineLvl w:val="8"/>
    </w:pPr>
    <w:rPr>
      <w:sz w:val="26"/>
      <w:lang w:val="zh-CN" w:eastAsia="zh-CN"/>
    </w:rPr>
  </w:style>
  <w:style w:type="character" w:customStyle="1" w:styleId="25">
    <w:name w:val="Интернет-ссылка"/>
    <w:qFormat/>
    <w:uiPriority w:val="0"/>
    <w:rPr>
      <w:color w:val="0000FF"/>
      <w:u w:val="single"/>
    </w:rPr>
  </w:style>
  <w:style w:type="character" w:customStyle="1" w:styleId="26">
    <w:name w:val="Гипертекстовая ссылка"/>
    <w:qFormat/>
    <w:uiPriority w:val="99"/>
    <w:rPr>
      <w:color w:val="008000"/>
    </w:rPr>
  </w:style>
  <w:style w:type="character" w:customStyle="1" w:styleId="27">
    <w:name w:val="Цветовое выделение"/>
    <w:qFormat/>
    <w:uiPriority w:val="99"/>
    <w:rPr>
      <w:b/>
      <w:bCs/>
      <w:color w:val="000080"/>
    </w:rPr>
  </w:style>
  <w:style w:type="character" w:customStyle="1" w:styleId="28">
    <w:name w:val="Текст выноски Знак"/>
    <w:link w:val="24"/>
    <w:qFormat/>
    <w:uiPriority w:val="0"/>
    <w:rPr>
      <w:rFonts w:ascii="Tahoma" w:hAnsi="Tahoma" w:cs="Tahoma"/>
      <w:sz w:val="16"/>
      <w:szCs w:val="16"/>
    </w:rPr>
  </w:style>
  <w:style w:type="character" w:customStyle="1" w:styleId="29">
    <w:name w:val="Не вступил в силу"/>
    <w:qFormat/>
    <w:uiPriority w:val="0"/>
    <w:rPr>
      <w:color w:val="008080"/>
    </w:rPr>
  </w:style>
  <w:style w:type="character" w:customStyle="1" w:styleId="30">
    <w:name w:val="Заголовок 1 Знак"/>
    <w:link w:val="19"/>
    <w:qFormat/>
    <w:uiPriority w:val="0"/>
    <w:rPr>
      <w:b/>
      <w:sz w:val="28"/>
    </w:rPr>
  </w:style>
  <w:style w:type="character" w:customStyle="1" w:styleId="31">
    <w:name w:val="Font Style40"/>
    <w:qFormat/>
    <w:uiPriority w:val="0"/>
    <w:rPr>
      <w:rFonts w:ascii="Times New Roman" w:hAnsi="Times New Roman" w:cs="Times New Roman"/>
      <w:sz w:val="22"/>
      <w:szCs w:val="22"/>
    </w:rPr>
  </w:style>
  <w:style w:type="character" w:customStyle="1" w:styleId="32">
    <w:name w:val="Заголовок 2 Знак"/>
    <w:link w:val="20"/>
    <w:qFormat/>
    <w:uiPriority w:val="0"/>
    <w:rPr>
      <w:sz w:val="28"/>
    </w:rPr>
  </w:style>
  <w:style w:type="character" w:customStyle="1" w:styleId="33">
    <w:name w:val="Заголовок 7 Знак"/>
    <w:qFormat/>
    <w:uiPriority w:val="0"/>
    <w:rPr>
      <w:sz w:val="24"/>
      <w:szCs w:val="24"/>
    </w:rPr>
  </w:style>
  <w:style w:type="character" w:customStyle="1" w:styleId="34">
    <w:name w:val="Заголовок 8 Знак"/>
    <w:link w:val="22"/>
    <w:qFormat/>
    <w:uiPriority w:val="0"/>
    <w:rPr>
      <w:sz w:val="26"/>
    </w:rPr>
  </w:style>
  <w:style w:type="character" w:customStyle="1" w:styleId="35">
    <w:name w:val="Заголовок 9 Знак"/>
    <w:link w:val="23"/>
    <w:qFormat/>
    <w:uiPriority w:val="0"/>
    <w:rPr>
      <w:sz w:val="26"/>
      <w:szCs w:val="24"/>
    </w:rPr>
  </w:style>
  <w:style w:type="character" w:customStyle="1" w:styleId="36">
    <w:name w:val="Нижний колонтитул Знак"/>
    <w:qFormat/>
    <w:uiPriority w:val="0"/>
    <w:rPr>
      <w:sz w:val="24"/>
      <w:szCs w:val="24"/>
    </w:rPr>
  </w:style>
  <w:style w:type="character" w:customStyle="1" w:styleId="37">
    <w:name w:val="Основной текст с отступом 3 Знак"/>
    <w:qFormat/>
    <w:uiPriority w:val="0"/>
    <w:rPr>
      <w:sz w:val="16"/>
      <w:szCs w:val="16"/>
    </w:rPr>
  </w:style>
  <w:style w:type="character" w:customStyle="1" w:styleId="38">
    <w:name w:val="Текст примечания Знак"/>
    <w:basedOn w:val="14"/>
    <w:link w:val="39"/>
    <w:qFormat/>
    <w:uiPriority w:val="0"/>
  </w:style>
  <w:style w:type="paragraph" w:customStyle="1" w:styleId="39">
    <w:name w:val="Обычный1"/>
    <w:link w:val="38"/>
    <w:qFormat/>
    <w:uiPriority w:val="0"/>
    <w:pPr>
      <w:widowControl w:val="0"/>
      <w:spacing w:line="300" w:lineRule="auto"/>
      <w:ind w:firstLine="520"/>
      <w:jc w:val="both"/>
    </w:pPr>
    <w:rPr>
      <w:rFonts w:ascii="Times New Roman" w:hAnsi="Times New Roman" w:eastAsia="Times New Roman" w:cs="Times New Roman"/>
      <w:sz w:val="24"/>
      <w:lang w:val="ru-RU" w:eastAsia="ru-RU" w:bidi="ar-SA"/>
    </w:rPr>
  </w:style>
  <w:style w:type="character" w:customStyle="1" w:styleId="40">
    <w:name w:val="Основной текст 3 Знак"/>
    <w:qFormat/>
    <w:uiPriority w:val="0"/>
    <w:rPr>
      <w:sz w:val="16"/>
      <w:szCs w:val="16"/>
    </w:rPr>
  </w:style>
  <w:style w:type="character" w:customStyle="1" w:styleId="41">
    <w:name w:val="ListLabel 1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sz w:val="24"/>
      <w:szCs w:val="22"/>
      <w:u w:val="none"/>
    </w:rPr>
  </w:style>
  <w:style w:type="character" w:customStyle="1" w:styleId="42">
    <w:name w:val="ListLabel 2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sz w:val="24"/>
      <w:szCs w:val="22"/>
      <w:u w:val="none"/>
    </w:rPr>
  </w:style>
  <w:style w:type="character" w:customStyle="1" w:styleId="43">
    <w:name w:val="ListLabel 3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sz w:val="24"/>
      <w:szCs w:val="22"/>
      <w:u w:val="none"/>
    </w:rPr>
  </w:style>
  <w:style w:type="character" w:customStyle="1" w:styleId="44">
    <w:name w:val="ListLabel 4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sz w:val="24"/>
      <w:szCs w:val="22"/>
      <w:u w:val="none"/>
    </w:rPr>
  </w:style>
  <w:style w:type="paragraph" w:customStyle="1" w:styleId="45">
    <w:name w:val="Заголовок"/>
    <w:basedOn w:val="1"/>
    <w:next w:val="7"/>
    <w:qFormat/>
    <w:uiPriority w:val="0"/>
    <w:rPr>
      <w:rFonts w:ascii="Arial" w:hAnsi="Arial" w:cs="Arial"/>
      <w:b/>
      <w:bCs/>
      <w:sz w:val="22"/>
      <w:szCs w:val="22"/>
    </w:rPr>
  </w:style>
  <w:style w:type="paragraph" w:customStyle="1" w:styleId="46">
    <w:name w:val="Название объекта1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47">
    <w:name w:val="Верхний колонтитул1"/>
    <w:basedOn w:val="1"/>
    <w:qFormat/>
    <w:uiPriority w:val="0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48">
    <w:name w:val="Нижний колонтитул1"/>
    <w:basedOn w:val="1"/>
    <w:qFormat/>
    <w:uiPriority w:val="0"/>
    <w:pPr>
      <w:tabs>
        <w:tab w:val="center" w:pos="4677"/>
        <w:tab w:val="right" w:pos="9355"/>
      </w:tabs>
    </w:pPr>
    <w:rPr>
      <w:lang w:val="zh-CN" w:eastAsia="zh-CN"/>
    </w:rPr>
  </w:style>
  <w:style w:type="paragraph" w:customStyle="1" w:styleId="49">
    <w:name w:val="ConsPlusTitle"/>
    <w:qFormat/>
    <w:uiPriority w:val="0"/>
    <w:pPr>
      <w:widowControl w:val="0"/>
    </w:pPr>
    <w:rPr>
      <w:rFonts w:ascii="Times New Roman" w:hAnsi="Times New Roman" w:eastAsia="Times New Roman" w:cs="Times New Roman"/>
      <w:b/>
      <w:bCs/>
      <w:sz w:val="24"/>
      <w:szCs w:val="24"/>
      <w:lang w:val="ru-RU" w:eastAsia="ru-RU" w:bidi="ar-SA"/>
    </w:rPr>
  </w:style>
  <w:style w:type="paragraph" w:customStyle="1" w:styleId="50">
    <w:name w:val="Нормальный (таблица)"/>
    <w:basedOn w:val="1"/>
    <w:qFormat/>
    <w:uiPriority w:val="99"/>
    <w:pPr>
      <w:jc w:val="both"/>
    </w:pPr>
    <w:rPr>
      <w:rFonts w:ascii="Arial" w:hAnsi="Arial"/>
    </w:rPr>
  </w:style>
  <w:style w:type="paragraph" w:customStyle="1" w:styleId="51">
    <w:name w:val="Прижатый влево"/>
    <w:basedOn w:val="1"/>
    <w:qFormat/>
    <w:uiPriority w:val="99"/>
    <w:rPr>
      <w:rFonts w:ascii="Arial" w:hAnsi="Arial"/>
    </w:rPr>
  </w:style>
  <w:style w:type="paragraph" w:customStyle="1" w:styleId="52">
    <w:name w:val="ConsPlusNonformat"/>
    <w:qFormat/>
    <w:uiPriority w:val="0"/>
    <w:pPr>
      <w:widowControl w:val="0"/>
    </w:pPr>
    <w:rPr>
      <w:rFonts w:ascii="Courier New" w:hAnsi="Courier New" w:eastAsia="Times New Roman" w:cs="Courier New"/>
      <w:sz w:val="24"/>
      <w:lang w:val="ru-RU" w:eastAsia="ru-RU" w:bidi="ar-SA"/>
    </w:rPr>
  </w:style>
  <w:style w:type="paragraph" w:customStyle="1" w:styleId="53">
    <w:name w:val="ConsPlusCell"/>
    <w:qFormat/>
    <w:uiPriority w:val="0"/>
    <w:pPr>
      <w:widowControl w:val="0"/>
    </w:pPr>
    <w:rPr>
      <w:rFonts w:ascii="Arial" w:hAnsi="Arial" w:eastAsia="Times New Roman" w:cs="Arial"/>
      <w:sz w:val="24"/>
      <w:lang w:val="ru-RU" w:eastAsia="ru-RU" w:bidi="ar-SA"/>
    </w:rPr>
  </w:style>
  <w:style w:type="paragraph" w:customStyle="1" w:styleId="54">
    <w:name w:val="Знак"/>
    <w:basedOn w:val="1"/>
    <w:qFormat/>
    <w:uiPriority w:val="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55">
    <w:name w:val="Таблицы (моноширинный)"/>
    <w:basedOn w:val="1"/>
    <w:qFormat/>
    <w:uiPriority w:val="99"/>
    <w:pPr>
      <w:widowControl w:val="0"/>
      <w:jc w:val="both"/>
    </w:pPr>
    <w:rPr>
      <w:rFonts w:ascii="Courier New" w:hAnsi="Courier New" w:cs="Courier New"/>
    </w:rPr>
  </w:style>
  <w:style w:type="paragraph" w:styleId="5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paragraph" w:customStyle="1" w:styleId="57">
    <w:name w:val="ConsPlusNormal"/>
    <w:qFormat/>
    <w:uiPriority w:val="0"/>
    <w:pPr>
      <w:widowControl w:val="0"/>
      <w:ind w:firstLine="720"/>
    </w:pPr>
    <w:rPr>
      <w:rFonts w:ascii="Arial" w:hAnsi="Arial" w:eastAsia="Times New Roman" w:cs="Arial"/>
      <w:sz w:val="24"/>
      <w:lang w:val="ru-RU" w:eastAsia="ru-RU" w:bidi="ar-SA"/>
    </w:rPr>
  </w:style>
  <w:style w:type="paragraph" w:customStyle="1" w:styleId="58">
    <w:name w:val="Комментарий"/>
    <w:basedOn w:val="1"/>
    <w:qFormat/>
    <w:uiPriority w:val="99"/>
    <w:pPr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59">
    <w:name w:val="ConsNormal"/>
    <w:qFormat/>
    <w:uiPriority w:val="0"/>
    <w:pPr>
      <w:widowControl w:val="0"/>
      <w:ind w:firstLine="720"/>
    </w:pPr>
    <w:rPr>
      <w:rFonts w:ascii="Times New Roman" w:hAnsi="Times New Roman" w:eastAsia="Times New Roman" w:cs="Times New Roman"/>
      <w:sz w:val="24"/>
      <w:lang w:val="ru-RU" w:eastAsia="ru-RU" w:bidi="ar-SA"/>
    </w:rPr>
  </w:style>
  <w:style w:type="paragraph" w:customStyle="1" w:styleId="60">
    <w:name w:val="Основной текст1"/>
    <w:basedOn w:val="1"/>
    <w:qFormat/>
    <w:uiPriority w:val="0"/>
    <w:pPr>
      <w:shd w:val="clear" w:color="auto" w:fill="FFFFFF"/>
    </w:pPr>
    <w:rPr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E825D9-E690-4B6F-AE58-8A87D877B6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Департамент социальной полттики ЧАО</Company>
  <Pages>8</Pages>
  <Words>1196</Words>
  <Characters>6820</Characters>
  <Lines>56</Lines>
  <Paragraphs>15</Paragraphs>
  <TotalTime>4</TotalTime>
  <ScaleCrop>false</ScaleCrop>
  <LinksUpToDate>false</LinksUpToDate>
  <CharactersWithSpaces>8001</CharactersWithSpaces>
  <Application>WPS Office_11.2.0.9144_F1E327BC-269C-435d-A152-05C5408002CA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2017-03-09T22:24:00Z</dcterms:created>
  <dc:creator>Усачев</dc:creator>
  <cp:lastModifiedBy>org4</cp:lastModifiedBy>
  <cp:lastPrinted>2015-10-26T23:56:00Z</cp:lastPrinted>
  <dcterms:modified xsi:type="dcterms:W3CDTF">2020-02-12T05:32:09Z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Департамент социальной полттики ЧАО</vt:lpwstr>
  </property>
  <property fmtid="{D5CDD505-2E9C-101B-9397-08002B2CF9AE}" pid="3" name="DocSecurity">
    <vt:i4>0</vt:i4>
  </property>
  <property fmtid="{D5CDD505-2E9C-101B-9397-08002B2CF9AE}" pid="4" name="KSOProductBuildVer">
    <vt:lpwstr>1049-11.2.0.9144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</Properties>
</file>